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6676" w:rsidRDefault="001966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6676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196676" w:rsidRDefault="001966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title-main"/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Здравствуйте!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br/>
                  </w:r>
                  <w: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196676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196676" w:rsidRDefault="0019667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96676" w:rsidRDefault="001966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196676" w:rsidRDefault="001966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00" cy="1228725"/>
                  <wp:effectExtent l="0" t="0" r="0" b="9525"/>
                  <wp:docPr id="1" name="Рисунок 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96676" w:rsidRDefault="00196676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РУКОВОДИТЕЛЮ </w:t>
            </w: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96676" w:rsidRDefault="00196676">
            <w:pPr>
              <w:rPr>
                <w:rFonts w:eastAsia="Times New Roman"/>
              </w:rPr>
            </w:pPr>
            <w:hyperlink r:id="rId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Детей-сирот, находящихся в больнице, будут сопровождать во время лечения </w:t>
              </w:r>
            </w:hyperlink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9667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96676" w:rsidRDefault="001966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с 30 мая 2021 года дети-сироты и дети, оставшиеся без попечения родителей, должны быть обеспечены уходом и сопровождением в течение всего периода лечения в медицинских учреждениях. </w:t>
                  </w:r>
                </w:p>
              </w:tc>
            </w:tr>
          </w:tbl>
          <w:p w:rsidR="00196676" w:rsidRDefault="001966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96676" w:rsidRDefault="00196676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1371600"/>
                  <wp:effectExtent l="0" t="0" r="9525" b="0"/>
                  <wp:wrapSquare wrapText="bothSides"/>
                  <wp:docPr id="11" name="Рисунок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9" w:history="1">
              <w:r>
                <w:rPr>
                  <w:rStyle w:val="a3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РФ от 19.05.2021 N 760 внесены изменения в п. 51 Положения, утвержденного </w:t>
            </w:r>
            <w:hyperlink r:id="rId10" w:history="1">
              <w:r>
                <w:rPr>
                  <w:rStyle w:val="a3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РФ от 24.05.2014 N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Ранее уход и присмотр за сиротами в больницах не входили в перечень медицинских услуг, а также не относились к видам деятельности детских домов. К оказанию такой помощи по мере возможности привлекались негосударственные некоммерческие организации и волонтеры.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Теперь </w:t>
            </w:r>
            <w:hyperlink r:id="rId11" w:history="1">
              <w:r>
                <w:rPr>
                  <w:rStyle w:val="a3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N 760 закреплена социальная услуга по совместному нахождению работников организаций для детей-сирот с детьми в медицинской организации при оказании им медицинской помощи в стационарных условиях в течение всего периода оказания медицинской помощи. 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При этом волонтеры, некоммерческие организации и благотворительные фонды, как и прежде, могут привлекаться к сопровождению детей в случае оказания им медицинской помощи. </w:t>
            </w: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96676" w:rsidRDefault="001966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467.75pt;height:.75pt" o:hralign="center" o:hrstd="t" o:hr="t" fillcolor="#a0a0a0" stroked="f"/>
              </w:pict>
            </w: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96676" w:rsidRDefault="00196676">
            <w:pPr>
              <w:rPr>
                <w:rFonts w:eastAsia="Times New Roman"/>
              </w:rPr>
            </w:pPr>
            <w:hyperlink r:id="rId12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Утверждены новые методические рекомендации по </w:t>
              </w:r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lastRenderedPageBreak/>
                <w:t xml:space="preserve">новому СанПиН для медорганизаций и аптек </w:t>
              </w:r>
            </w:hyperlink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9667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96676" w:rsidRDefault="001966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lastRenderedPageBreak/>
                    <w:t xml:space="preserve">Возможности: ознакомиться с методическими рекомендациями по обеспечению санитарно-эпидемиологических требований, в частности, при оказании медицинских услуг, при предоставлении услуг аптечными организациями. </w:t>
                  </w:r>
                </w:p>
              </w:tc>
            </w:tr>
          </w:tbl>
          <w:p w:rsidR="00196676" w:rsidRDefault="001966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96676" w:rsidRDefault="00196676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10" name="Рисунок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4" w:history="1">
              <w:r>
                <w:rPr>
                  <w:rStyle w:val="a3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Главного государственного санитарного врача РФ от 24.12.2020 N 44 утверждены новые санитарные правила </w:t>
            </w:r>
            <w:hyperlink r:id="rId15" w:history="1">
              <w:r>
                <w:rPr>
                  <w:rStyle w:val="a3"/>
                  <w:color w:val="0000FF"/>
                </w:rPr>
                <w:t>СП 2.1.3678-20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Они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 и неинфекционных заболеваний. В </w:t>
            </w:r>
            <w:hyperlink r:id="rId16" w:history="1">
              <w:r>
                <w:rPr>
                  <w:rStyle w:val="a3"/>
                  <w:color w:val="0000FF"/>
                </w:rPr>
                <w:t>гл. IV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новых правил содержатся санитарно-эпидемиологические требования к эксплуатации помещений, зданий, сооружений при осуществлении деятельности хозяйствующими субъектами, оказывающими медицинские услуги.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  <w:t>Новые санитарные правила действуют с 1 января 2021 года до 1 января 2027 года (</w:t>
            </w:r>
            <w:hyperlink r:id="rId17" w:history="1">
              <w:r>
                <w:rPr>
                  <w:rStyle w:val="a3"/>
                  <w:color w:val="0000FF"/>
                </w:rPr>
                <w:t>п. 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Постановления).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 целью информирования контролируемых лиц, пояснения способов соблюдения обязательных требований, указания на примеры соблюдения обязательных требований Роспотребнадзор разработал </w:t>
            </w:r>
            <w:hyperlink r:id="rId18" w:history="1">
              <w:r>
                <w:rPr>
                  <w:rStyle w:val="a3"/>
                  <w:color w:val="0000FF"/>
                </w:rPr>
                <w:t>Методические рекомендации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МР 2.1.0247-21 от 17.05.2021 по принятию контролируемыми лицами конкретных мер для обеспечения соблюдения обязательных требований, содержащихся в </w:t>
            </w:r>
            <w:hyperlink r:id="rId19" w:history="1">
              <w:r>
                <w:rPr>
                  <w:rStyle w:val="a3"/>
                  <w:color w:val="0000FF"/>
                </w:rPr>
                <w:t>СП 2.1.3678-20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в том числе при оказании медицинских услуг, при предоставлении услуг аптечными организациями, при предоставлении услуг в области спорта, организации досуга и развлечений, при предоставлении гостиничных и бытовых услуг, при социальном обслуживании.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96676" w:rsidRDefault="001966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467.75pt;height:.75pt" o:hralign="center" o:hrstd="t" o:hr="t" fillcolor="#a0a0a0" stroked="f"/>
              </w:pict>
            </w: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96676" w:rsidRDefault="00196676">
            <w:pPr>
              <w:rPr>
                <w:rFonts w:eastAsia="Times New Roman"/>
              </w:rPr>
            </w:pPr>
            <w:hyperlink r:id="rId20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ФНС России разъяснила, как заполнить заявление по форме N Р13014 при принятии решения об изменении места нахождения юрлица </w:t>
              </w:r>
            </w:hyperlink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9667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96676" w:rsidRDefault="001966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ознакомиться с разъяснениями ФНС, которые позволят без ошибок заполнить форму Р13014. </w:t>
                  </w:r>
                </w:p>
              </w:tc>
            </w:tr>
          </w:tbl>
          <w:p w:rsidR="00196676" w:rsidRDefault="001966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96676" w:rsidRDefault="00196676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1009650"/>
                  <wp:effectExtent l="0" t="0" r="9525" b="0"/>
                  <wp:wrapSquare wrapText="bothSides"/>
                  <wp:docPr id="9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ФНС России в </w:t>
            </w:r>
            <w:hyperlink r:id="rId22" w:history="1">
              <w:r>
                <w:rPr>
                  <w:rStyle w:val="a3"/>
                  <w:color w:val="0000FF"/>
                </w:rPr>
                <w:t>Информации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20.05.2021 разъяснила нюансы заполнения заявления об изменении места нахождения компании. При изменении места нахождения организация представляет в регистрирующий орган заявление по форме N Р13014 с приложением соответствующего решения. При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этом в заявлении в п. 6 проставляется значение «1» (принято решение об изменении места нахождения).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По истечении 20 дней с момента внесения в ЕГРЮЛ сведений о том, что юрлицом принято решение об изменении его места нахождения, в регистрирующий орган подаются необходимые документы для госрегистрации нового адреса.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  <w:t xml:space="preserve">ФНС обращает внимание на то, что положения </w:t>
            </w:r>
            <w:hyperlink r:id="rId23" w:history="1">
              <w:r>
                <w:rPr>
                  <w:rStyle w:val="a3"/>
                  <w:color w:val="0000FF"/>
                </w:rPr>
                <w:t>п. 6 ст. 17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Федерального закона от 08.08.2001 N 129-ФЗ не распространяются на случаи, когда новым адресом компании становится адрес места жительства ее участника, владеющего не менее чем 50% голосов от общего количества голосов участников ООО, либо лица, имеющего право без доверенности действовать от имени организации.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таком случае в заявлении по форме N Р13014 в п. 6 также проставляется значение «1» (принято решение об изменении места нахождения).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  <w:u w:val="single"/>
              </w:rPr>
              <w:t xml:space="preserve"> </w:t>
            </w: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96676" w:rsidRDefault="001966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7" style="width:467.75pt;height:.75pt" o:hralign="center" o:hrstd="t" o:hr="t" fillcolor="#a0a0a0" stroked="f"/>
              </w:pict>
            </w: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96676" w:rsidRDefault="00196676">
            <w:pPr>
              <w:rPr>
                <w:rFonts w:eastAsia="Times New Roman"/>
              </w:rPr>
            </w:pPr>
            <w:hyperlink r:id="rId24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Нецелевое расходование средств на ОМС: знакомимся с позицией судов </w:t>
              </w:r>
            </w:hyperlink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9667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96676" w:rsidRDefault="001966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ознакомиться с примерами нецелевого расходования средств на ОМС, чтобы понять, какие затраты будут считаться нецелевыми, а какие есть шансы отстоять в суде. </w:t>
                  </w:r>
                </w:p>
              </w:tc>
            </w:tr>
          </w:tbl>
          <w:p w:rsidR="00196676" w:rsidRDefault="001966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96676" w:rsidRDefault="00196676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8" name="Рисунок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Грамотное расходование материальных ресурсов на средства ОМС с целью обеспечения работы медучреждений регламентируется законодательством.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26" w:history="1">
              <w:r>
                <w:rPr>
                  <w:rStyle w:val="a3"/>
                  <w:color w:val="0000FF"/>
                </w:rPr>
                <w:t>Обзоре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«Какие расходы за счет средств ОМС контролеры и суды считают нецелевыми – примеры за 2020-2021 годы» рассказано, как в судебном порядке решались споры по поводу расходов средств на ОМС и какие из них были признаны нецелевыми.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Если работникам оказывали материальную помощь или оплачивали обучение, которое для них необязательно, ТФОМС и суды могут признать расходы нецелевыми. Если же списывались просроченные медикаменты, шансы отстоять свою позицию в суде значительно выше.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27" w:history="1">
              <w:r>
                <w:rPr>
                  <w:rStyle w:val="a3"/>
                  <w:color w:val="0000FF"/>
                </w:rPr>
                <w:t>Обзоре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рассказано, как решались споры по поводу затрат: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на зарплату и другие выплаты работникам;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на обучение работников;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на медоборудование и лекарства; 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на другие затраты (оплату открыток и поздравительных писем, покупку игрушек, благодарственных писем, почетных грамот и рамок для них, приобретение комнатных растений, цветочных горшков, кашпо и балконных лотков).</w:t>
            </w:r>
            <w:r>
              <w:rPr>
                <w:rFonts w:ascii="Arial" w:hAnsi="Arial" w:cs="Arial"/>
                <w:b/>
                <w:bCs/>
                <w:color w:val="444444"/>
                <w:sz w:val="21"/>
                <w:szCs w:val="21"/>
                <w:u w:val="single"/>
              </w:rPr>
              <w:t xml:space="preserve"> </w:t>
            </w: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96676" w:rsidRDefault="001966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8" style="width:467.75pt;height:.75pt" o:hralign="center" o:hrstd="t" o:hr="t" fillcolor="#a0a0a0" stroked="f"/>
              </w:pict>
            </w: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96676" w:rsidRDefault="00196676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БУХГАЛТЕРУ </w:t>
            </w: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96676" w:rsidRDefault="00196676">
            <w:pPr>
              <w:rPr>
                <w:rFonts w:eastAsia="Times New Roman"/>
              </w:rPr>
            </w:pPr>
            <w:hyperlink r:id="rId28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Утверждена форма направления в налоговые органы сведений о земельных участках, предоставленных для обеспечения обороны, безопасности и таможенных нужд </w:t>
              </w:r>
            </w:hyperlink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9667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96676" w:rsidRDefault="001966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lastRenderedPageBreak/>
                    <w:t xml:space="preserve">Возможности: федеральные казенные учреждения могут воспользоваться формами для предварительного ознакомления для последующего направления в налоговые органы сведений о земельных участках. </w:t>
                  </w:r>
                </w:p>
              </w:tc>
            </w:tr>
          </w:tbl>
          <w:p w:rsidR="00196676" w:rsidRDefault="001966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96676" w:rsidRDefault="00196676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42950"/>
                  <wp:effectExtent l="0" t="0" r="9525" b="0"/>
                  <wp:wrapSquare wrapText="bothSides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соответствии с п. 20 ст. 396 НК РФ ФНС России </w:t>
            </w:r>
            <w:hyperlink r:id="rId30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от 23.03.2021 N ЕД-7-21/215@  установила обязанность представления сведений о кадастровых номерах таких земельных участков госорганами, в которых предусмотрена военная (приравненная к ней) служба, а также федеральным органом, уполномоченным по контролю и надзору в области таможенного дела.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1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утверждены форма, формат представления сведений и порядок заполнения данной формы.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Согласно общему правилу форма заполняется в электронной форме либо на бумажном носителе.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Если сведения отнесены к государственной тайне, соответствующий гриф секретности указывается на страницах Формы. При этом форма заполняется на бумажном носителе.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 необходимости представления сведений о нескольких земельных участках раздел «Содержание сведений» с листом N 1 и (или) листом N 2 формы заполняется по каждому земельному участку отдельно.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  <w:t>Форма применяется с 4 июня 2021 года.</w:t>
            </w: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96676" w:rsidRDefault="001966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9" style="width:467.75pt;height:.75pt" o:hralign="center" o:hrstd="t" o:hr="t" fillcolor="#a0a0a0" stroked="f"/>
              </w:pict>
            </w: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96676" w:rsidRDefault="00196676">
            <w:pPr>
              <w:rPr>
                <w:rFonts w:eastAsia="Times New Roman"/>
              </w:rPr>
            </w:pPr>
            <w:hyperlink r:id="rId32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ФНС напоминает об изменении выдаваемой работникам формы справки о доходах и суммах НДФЛ </w:t>
              </w:r>
            </w:hyperlink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9667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96676" w:rsidRDefault="001966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начиная с отчетности за I квартал 2021 года налоговые агенты должны выдавать справку 2-НДФЛ работникам по новой форме.  </w:t>
                  </w:r>
                </w:p>
              </w:tc>
            </w:tr>
          </w:tbl>
          <w:p w:rsidR="00196676" w:rsidRDefault="001966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96676" w:rsidRDefault="00196676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34" w:history="1">
              <w:r>
                <w:rPr>
                  <w:rStyle w:val="a3"/>
                  <w:color w:val="0000FF"/>
                </w:rPr>
                <w:t>Информации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ФНС России от 21.05.2021 сообщается, что в текущем году налоговые агенты выдают работникам по заявлениям справки об их доходах и суммах налога за 2020 год по форме, утвержденной приложением N 5 к </w:t>
            </w:r>
            <w:hyperlink r:id="rId35" w:history="1">
              <w:r>
                <w:rPr>
                  <w:rStyle w:val="a3"/>
                  <w:color w:val="0000FF"/>
                </w:rPr>
                <w:t>Приказу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ФНС России от 02.10.2018 N ММВ-7-11/566@.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Начиная с отчетности за I квартал 2021 года этот документ утрачивает силу. Теперь для представления указанных сведений действует форма справки, утвержденная приложением N 4 к </w:t>
            </w:r>
            <w:hyperlink r:id="rId36" w:history="1">
              <w:r>
                <w:rPr>
                  <w:rStyle w:val="a3"/>
                  <w:color w:val="0000FF"/>
                </w:rPr>
                <w:t>Приказу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ФНС России от 15.10.2020 N ЕД-7-11/753@.</w:t>
            </w: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96676" w:rsidRDefault="001966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0" style="width:467.75pt;height:.75pt" o:hralign="center" o:hrstd="t" o:hr="t" fillcolor="#a0a0a0" stroked="f"/>
              </w:pict>
            </w: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96676" w:rsidRDefault="00196676">
            <w:pPr>
              <w:rPr>
                <w:rFonts w:eastAsia="Times New Roman"/>
              </w:rPr>
            </w:pPr>
            <w:hyperlink r:id="rId3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ФНС разъяснила порядок передачи сообщений об исчисленных налоговыми органами суммах транспортного и земельного налогов в случае реорганизации организации </w:t>
              </w:r>
            </w:hyperlink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9667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96676" w:rsidRDefault="001966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сообщение об исчисленной сумме налога налоговый орган составляет и передает правопреемнику в обычный срок, то есть не позднее </w:t>
                  </w: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lastRenderedPageBreak/>
                    <w:t xml:space="preserve">шести месяцев со дня истечения установленного срока уплаты налога за год. </w:t>
                  </w:r>
                </w:p>
              </w:tc>
            </w:tr>
          </w:tbl>
          <w:p w:rsidR="00196676" w:rsidRDefault="001966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96676" w:rsidRDefault="00196676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ФНС России в </w:t>
            </w:r>
            <w:hyperlink r:id="rId39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30.04.2021 N БС-4-21/6154@ представила рекомендации о передаче (направлении) сообщений об исчисленных налоговыми органами суммах транспортного и земельного налогов в случае реорганизации налогоплательщика-организации. Так, ведомство полагает, что обязанность по уплате налогов реорганизованного юридического лица исполняется его правопреемником (правопреемниками) в порядке, установленном </w:t>
            </w:r>
            <w:hyperlink r:id="rId40" w:history="1">
              <w:r>
                <w:rPr>
                  <w:rStyle w:val="a3"/>
                  <w:color w:val="0000FF"/>
                </w:rPr>
                <w:t>ст. 50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НК РФ.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Таким образом, начиная с 2021 года за период постановки на учет реорганизованных юридических лиц в налоговом органе по месту нахождения принадлежащих им земельных участков и (или) транспортных средств передача сообщений осуществляется правопреемникам, на которых в соответствии со </w:t>
            </w:r>
            <w:hyperlink r:id="rId41" w:history="1">
              <w:r>
                <w:rPr>
                  <w:rStyle w:val="a3"/>
                  <w:color w:val="0000FF"/>
                </w:rPr>
                <w:t>ст. 50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НК РФ возложена обязанность по уплате налогов. </w:t>
            </w: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96676" w:rsidRDefault="001966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467.75pt;height:.75pt" o:hralign="center" o:hrstd="t" o:hr="t" fillcolor="#a0a0a0" stroked="f"/>
              </w:pict>
            </w: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96676" w:rsidRDefault="00196676">
            <w:pPr>
              <w:rPr>
                <w:rFonts w:eastAsia="Times New Roman"/>
              </w:rPr>
            </w:pPr>
            <w:hyperlink r:id="rId42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О применении НПД в отношении доходов от педагогической деятельности, в частности репетиторства </w:t>
              </w:r>
            </w:hyperlink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9667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96676" w:rsidRDefault="001966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в отношении доходов, полученных от репетиторства, можно применять НПД. </w:t>
                  </w:r>
                </w:p>
              </w:tc>
            </w:tr>
          </w:tbl>
          <w:p w:rsidR="00196676" w:rsidRDefault="001966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96676" w:rsidRDefault="00196676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в </w:t>
            </w:r>
            <w:hyperlink r:id="rId44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11.08.2020 N 03-11-11/70056 сообщает, что положения Федерального </w:t>
            </w:r>
            <w:hyperlink r:id="rId45" w:history="1">
              <w:r>
                <w:rPr>
                  <w:rStyle w:val="a3"/>
                  <w:color w:val="0000FF"/>
                </w:rPr>
                <w:t>закона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27.11.2018 N 422-ФЗ «О проведении эксперимента по установлению специального налогового режима "Налог на профессиональный доход"» не предусматривают запрета на применение спецрежима НПД в отношении доходов, полученных от педагогической деятельности, в частности репетиторства, при условии соблюдения ограничений, предусмотренных п. 70 ст. 217 НК РФ.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Для этого педагогу нужно уведомить налоговые органы о начале своей деятельности. Если репетитор не привлекает наемный труд, то ему разрешат быть самозанятым гражданином.</w:t>
            </w: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96676" w:rsidRDefault="001966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467.75pt;height:.75pt" o:hralign="center" o:hrstd="t" o:hr="t" fillcolor="#a0a0a0" stroked="f"/>
              </w:pict>
            </w: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96676" w:rsidRDefault="00196676">
            <w:pPr>
              <w:rPr>
                <w:rFonts w:eastAsia="Times New Roman"/>
              </w:rPr>
            </w:pPr>
            <w:hyperlink r:id="rId46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Установлен новый порядок казначейского обеспечения обязательств при казначейском сопровождении целевых средств </w:t>
              </w:r>
            </w:hyperlink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9667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96676" w:rsidRDefault="001966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28 мая 2021 года действует новый порядок ТОФК по операциям со средствами в валюте РФ при казначейском сопровождении целевых средств. </w:t>
                  </w:r>
                </w:p>
              </w:tc>
            </w:tr>
          </w:tbl>
          <w:p w:rsidR="00196676" w:rsidRDefault="001966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96676" w:rsidRDefault="00196676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1190625"/>
                  <wp:effectExtent l="0" t="0" r="9525" b="9525"/>
                  <wp:wrapSquare wrapText="bothSides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в соответствии с Федеральным законом  «О федеральном бюджете на 2021 год и на плановый период 2022 и 2023 годов» </w:t>
            </w:r>
            <w:hyperlink r:id="rId48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22.12.2020 N 316н установил порядок казначейского обеспечения обязательств при казначейском сопровождении целевых средств. Новый порядок предусматривает правила осуществления ТОФК операций со средствами в валюте РФ, предоставляемыми юрлицам и индивидуальным предпринимателям на основании, в частности, госконтрактов, заключаемых для обеспечения государственных нужд; договоров (соглашений) о предоставлении субсидий; контрактов, договоров, соглашений, заключенных в рамках исполнения государственных контрактов.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Указанные операции осуществляются на основании документа, подтверждающего обязанность Федерального казначейства обеспечить оплату обязательств государственного заказчика (главного распорядителя средств федерального бюджета).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Информационный обмен между госзаказчиком, главным распорядителем средств федерального бюджета, организацией, индивидуальным предпринимателем, исполнителем по договору и ТОФК осуществляется с применением усиленной квалифицированной электронной подписи.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  <w:t>Приказ применяется с 28 мая 2021 года.</w:t>
            </w: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96676" w:rsidRDefault="001966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3" style="width:467.75pt;height:.75pt" o:hralign="center" o:hrstd="t" o:hr="t" fillcolor="#a0a0a0" stroked="f"/>
              </w:pict>
            </w: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96676" w:rsidRDefault="00196676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ЦЕНТР ОПЕРАТИВНОГО КОНСУЛЬТИРОВАНИЯ ОТВЕЧАЕТ </w:t>
            </w: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96676" w:rsidRDefault="00196676">
            <w:pPr>
              <w:rPr>
                <w:rFonts w:eastAsia="Times New Roman"/>
              </w:rPr>
            </w:pPr>
            <w:hyperlink r:id="rId49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Сотрудник принес больничный лист, в котором подпись врача проставлена синей ручкой. Можно ли принять такой больничный? </w:t>
              </w:r>
            </w:hyperlink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9667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96676" w:rsidRDefault="001966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подпись врача (фельдшера, стоматолога) в бумажном больничном листе должна быть сделана черными чернилами гелевой, капиллярной или перьевой ручкой. </w:t>
                  </w:r>
                </w:p>
              </w:tc>
            </w:tr>
          </w:tbl>
          <w:p w:rsidR="00196676" w:rsidRDefault="001966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96676" w:rsidRDefault="00196676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51" w:history="1">
              <w:r>
                <w:rPr>
                  <w:rStyle w:val="a3"/>
                  <w:color w:val="0000FF"/>
                </w:rPr>
                <w:t>Готовом решении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«Как проверить правильность заполнения больничного листа» сообщается, что при получении бумажного больничного листа необходимо проверить, чтобы записи были сделаны черными чернилами гелевой, капиллярной или перьевой, а не шариковой ручкой, внесены в пределах ячеек и хорошо читались.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Чтобы не допускать споров с ФСС РФ и разбирательства в суде, рекомендуем попросить работника, который представил больничный лист, в котором подпись врача поставлена синей ручкой, обратиться в медицинскую организацию для исправления нарушения. Также можете обратиться за разъяснениями в свое региональное отделение ФСС РФ (</w:t>
            </w:r>
            <w:hyperlink r:id="rId52" w:history="1">
              <w:r>
                <w:rPr>
                  <w:rStyle w:val="a3"/>
                  <w:color w:val="0000FF"/>
                </w:rPr>
                <w:t>Письмо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ФСС РФ от 30.09.2011 N 14-03-11/15-11575).</w:t>
            </w:r>
          </w:p>
          <w:p w:rsidR="00196676" w:rsidRDefault="00196676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электронном больничном листе сведения о каждом периоде нетрудоспособности должны быть подтверждены усиленной квалифицированной электронной подписью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лечащего врача (фельдшера, стоматолога) или усиленной квалифицированной электронной подписью председателя врачебной комиссии медорганизации, если случай рассматривала такая комиссия (</w:t>
            </w:r>
            <w:hyperlink r:id="rId53" w:history="1">
              <w:r>
                <w:rPr>
                  <w:rStyle w:val="a3"/>
                  <w:color w:val="0000FF"/>
                </w:rPr>
                <w:t>п. 68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Порядка выдачи и оформления листков нетрудоспособности). </w:t>
            </w:r>
          </w:p>
        </w:tc>
      </w:tr>
      <w:tr w:rsidR="00196676" w:rsidTr="0019667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96676" w:rsidRDefault="0019667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17E87" w:rsidRDefault="00F17E87">
      <w:bookmarkStart w:id="0" w:name="_GoBack"/>
      <w:bookmarkEnd w:id="0"/>
    </w:p>
    <w:sectPr w:rsidR="00F1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C"/>
    <w:rsid w:val="00196676"/>
    <w:rsid w:val="003F012C"/>
    <w:rsid w:val="00F1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7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676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196676"/>
  </w:style>
  <w:style w:type="character" w:customStyle="1" w:styleId="title-main">
    <w:name w:val="title-main"/>
    <w:basedOn w:val="a0"/>
    <w:rsid w:val="00196676"/>
  </w:style>
  <w:style w:type="paragraph" w:styleId="a5">
    <w:name w:val="Balloon Text"/>
    <w:basedOn w:val="a"/>
    <w:link w:val="a6"/>
    <w:uiPriority w:val="99"/>
    <w:semiHidden/>
    <w:unhideWhenUsed/>
    <w:rsid w:val="001966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67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7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676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196676"/>
  </w:style>
  <w:style w:type="character" w:customStyle="1" w:styleId="title-main">
    <w:name w:val="title-main"/>
    <w:basedOn w:val="a0"/>
    <w:rsid w:val="00196676"/>
  </w:style>
  <w:style w:type="paragraph" w:styleId="a5">
    <w:name w:val="Balloon Text"/>
    <w:basedOn w:val="a"/>
    <w:link w:val="a6"/>
    <w:uiPriority w:val="99"/>
    <w:semiHidden/>
    <w:unhideWhenUsed/>
    <w:rsid w:val="001966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67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LAW%26amp%3Bn%3D384476%26amp%3Bdst%3D100005&amp;uid_news=1110361&amp;cli=" TargetMode="External"/><Relationship Id="rId26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LAW%26amp%3Bn%3D384729%26amp%3Bdst%3D1000000005&amp;uid_news=1110347&amp;cli=" TargetMode="External"/><Relationship Id="rId39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LAW%26amp%3Bn%3D384277%26amp%3Bdst%3D100005&amp;uid_news=1110336&amp;cli=" TargetMode="External"/><Relationship Id="rId21" Type="http://schemas.openxmlformats.org/officeDocument/2006/relationships/image" Target="media/image4.jpeg"/><Relationship Id="rId34" Type="http://schemas.openxmlformats.org/officeDocument/2006/relationships/hyperlink" Target="http://work.elcode.ru/subscribe/link/?hash=919ad7606700a946b12d6534e25d2b7d&amp;id_send=17232&amp;id_email=9696439&amp;url=http%3A%2F%2Fwww.consultant.ru%2Fdocument%2Fcons_doc_LAW_384585%2F&amp;uid_news=1110339&amp;cli=" TargetMode="External"/><Relationship Id="rId42" Type="http://schemas.openxmlformats.org/officeDocument/2006/relationships/hyperlink" Target="http://work.elcode.ru/subscribe/link/?hash=919ad7606700a946b12d6534e25d2b7d&amp;id_send=17232&amp;id_email=9696439&amp;url=https%3A%2F%2Flogin.consultant.ru%2Flink%2F%3Freq%3Ddoc%26base%3DQUEST%26n%3D203882%26dst%3D100006&amp;uid_news=1110333&amp;cli=" TargetMode="External"/><Relationship Id="rId47" Type="http://schemas.openxmlformats.org/officeDocument/2006/relationships/image" Target="media/image10.jpeg"/><Relationship Id="rId50" Type="http://schemas.openxmlformats.org/officeDocument/2006/relationships/image" Target="media/image11.jpeg"/><Relationship Id="rId55" Type="http://schemas.openxmlformats.org/officeDocument/2006/relationships/theme" Target="theme/theme1.xml"/><Relationship Id="rId7" Type="http://schemas.openxmlformats.org/officeDocument/2006/relationships/hyperlink" Target="http://work.elcode.ru/subscribe/link/?hash=919ad7606700a946b12d6534e25d2b7d&amp;id_send=17232&amp;id_email=9696439&amp;url=https%3A%2F%2Flogin.consultant.ru%2Flink%2F%3Freq%3Ddoc%26base%3DLAW%26n%3D384612%26dst%3D100002&amp;uid_news=1110364&amp;cli=" TargetMode="External"/><Relationship Id="rId12" Type="http://schemas.openxmlformats.org/officeDocument/2006/relationships/hyperlink" Target="http://work.elcode.ru/subscribe/link/?hash=919ad7606700a946b12d6534e25d2b7d&amp;id_send=17232&amp;id_email=9696439&amp;url=https%3A%2F%2Flogin.consultant.ru%2Flink%2F%3Freq%3Ddoc%26base%3DLAW%26n%3D384476%26dst%3D1000000016&amp;uid_news=1110361&amp;cli=" TargetMode="External"/><Relationship Id="rId17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LAW%26amp%3Bn%3D373317%26amp%3Bdst%3D100009&amp;uid_news=1110361&amp;cli=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7.jpeg"/><Relationship Id="rId38" Type="http://schemas.openxmlformats.org/officeDocument/2006/relationships/image" Target="media/image8.jpeg"/><Relationship Id="rId46" Type="http://schemas.openxmlformats.org/officeDocument/2006/relationships/hyperlink" Target="http://work.elcode.ru/subscribe/link/?hash=919ad7606700a946b12d6534e25d2b7d&amp;id_send=17232&amp;id_email=9696439&amp;url=https%3A%2F%2Flogin.consultant.ru%2Flink%2F%3Freq%3Ddoc%26base%3DLAW%26n%3D384270%26dst%3D1000000009&amp;uid_news=1110330&amp;cli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LAW%26amp%3Bn%3D373317%26amp%3Bdst%3D100053&amp;uid_news=1110361&amp;cli=" TargetMode="External"/><Relationship Id="rId20" Type="http://schemas.openxmlformats.org/officeDocument/2006/relationships/hyperlink" Target="http://work.elcode.ru/subscribe/link/?hash=919ad7606700a946b12d6534e25d2b7d&amp;id_send=17232&amp;id_email=9696439&amp;url=https%3A%2F%2Flogin.consultant.ru%2Flink%2F%3Freq%3Ddoc%26base%3DLAW%26n%3D384505%26dst%3D100003&amp;uid_news=1110349&amp;cli=" TargetMode="External"/><Relationship Id="rId29" Type="http://schemas.openxmlformats.org/officeDocument/2006/relationships/image" Target="media/image6.jpeg"/><Relationship Id="rId41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LAW%26amp%3Bn%3D382648%26amp%3Bdst%3D3917&amp;uid_news=1110336&amp;cli=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191a97275c87f7096e27fd5bc34915c6@swift.generated" TargetMode="External"/><Relationship Id="rId11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LAW%26amp%3Bn%3D384612%26amp%3Bdst%3D100005&amp;uid_news=1110364&amp;cli=" TargetMode="External"/><Relationship Id="rId24" Type="http://schemas.openxmlformats.org/officeDocument/2006/relationships/hyperlink" Target="http://work.elcode.ru/subscribe/link/?hash=919ad7606700a946b12d6534e25d2b7d&amp;id_send=17232&amp;id_email=9696439&amp;url=https%3A%2F%2Flogin.consultant.ru%2Flink%2F%3Freq%3Ddoc%26base%3DLAW%26n%3D384729%26dst%3D1000000004&amp;uid_news=1110347&amp;cli=" TargetMode="External"/><Relationship Id="rId32" Type="http://schemas.openxmlformats.org/officeDocument/2006/relationships/hyperlink" Target="http://work.elcode.ru/subscribe/link/?hash=919ad7606700a946b12d6534e25d2b7d&amp;id_send=17232&amp;id_email=9696439&amp;url=http%3A%2F%2Fwww.consultant.ru%2Fdocument%2Fcons_doc_LAW_384585%2F&amp;uid_news=1110339&amp;cli=" TargetMode="External"/><Relationship Id="rId37" Type="http://schemas.openxmlformats.org/officeDocument/2006/relationships/hyperlink" Target="http://work.elcode.ru/subscribe/link/?hash=919ad7606700a946b12d6534e25d2b7d&amp;id_send=17232&amp;id_email=9696439&amp;url=https%3A%2F%2Flogin.consultant.ru%2Flink%2F%3Freq%3Ddoc%26base%3DLAW%26n%3D384277%26dst%3D100004&amp;uid_news=1110336&amp;cli=" TargetMode="External"/><Relationship Id="rId40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LAW%26amp%3Bn%3D382648%26amp%3Bdst%3D3917&amp;uid_news=1110336&amp;cli=" TargetMode="External"/><Relationship Id="rId45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LAW%26amp%3Bn%3D354543&amp;uid_news=1110333&amp;cli=" TargetMode="External"/><Relationship Id="rId53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LAW%26amp%3Bn%3D362176%26amp%3Bdst%3D100354&amp;uid_news=1110328&amp;cli=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LAW%26amp%3Bn%3D373317%26amp%3Bdst%3D100018&amp;uid_news=1110361&amp;cli=" TargetMode="External"/><Relationship Id="rId23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LAW%26amp%3Bn%3D366142%26amp%3Bdst%3D315&amp;uid_news=1110349&amp;cli=" TargetMode="External"/><Relationship Id="rId28" Type="http://schemas.openxmlformats.org/officeDocument/2006/relationships/hyperlink" Target="http://work.elcode.ru/subscribe/link/?hash=919ad7606700a946b12d6534e25d2b7d&amp;id_send=17232&amp;id_email=9696439&amp;url=https%3A%2F%2Flogin.consultant.ru%2Flink%2F%3Freq%3Ddoc%26base%3DLAW%26n%3D384764%26dst%3D100004&amp;uid_news=1110342&amp;cli=" TargetMode="External"/><Relationship Id="rId36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LAW%26amp%3Bn%3D366412%26amp%3Bdst%3D100004&amp;uid_news=1110339&amp;cli=" TargetMode="External"/><Relationship Id="rId49" Type="http://schemas.openxmlformats.org/officeDocument/2006/relationships/hyperlink" Target="http://work.elcode.ru/subscribe/link/?hash=919ad7606700a946b12d6534e25d2b7d&amp;id_send=17232&amp;id_email=9696439&amp;url=https%3A%2F%2Flogin.consultant.ru%2Flink%2F%3Freq%3Ddoc%26base%3DPBI%26n%3D242835%26dst%3D100029&amp;uid_news=1110328&amp;cli=" TargetMode="External"/><Relationship Id="rId10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LAW%26amp%3Bn%3D345432%26amp%3Bdst%3D100072&amp;uid_news=1110364&amp;cli=" TargetMode="External"/><Relationship Id="rId19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LAW%26amp%3Bn%3D373317%26amp%3Bdst%3D100018&amp;uid_news=1110361&amp;cli=" TargetMode="External"/><Relationship Id="rId31" Type="http://schemas.openxmlformats.org/officeDocument/2006/relationships/hyperlink" Target="http://work.elcode.ru/subscribe/link/?hash=919ad7606700a946b12d6534e25d2b7d&amp;id_send=17232&amp;id_email=9696439&amp;url=http%3A%2F%2Fstatic.consultant.ru%2Fobj%2Ffile%2Fdoc%2Ffns_240521-215.pdf&amp;uid_news=1110342&amp;cli=" TargetMode="External"/><Relationship Id="rId44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QUEST%26amp%3Bn%3D203882%26amp%3Bdst%3D100004&amp;uid_news=1110333&amp;cli=" TargetMode="External"/><Relationship Id="rId52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LAW%26amp%3Bn%3D122206%26amp%3Bdst%3D100005&amp;uid_news=1110328&amp;cli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LAW%26amp%3Bn%3D384612%26amp%3Bdst%3D1000000008&amp;uid_news=1110364&amp;cli=" TargetMode="External"/><Relationship Id="rId14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LAW%26amp%3Bn%3D373317%26amp%3Bdst%3D1000000011&amp;uid_news=1110361&amp;cli=" TargetMode="External"/><Relationship Id="rId22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LAW%26amp%3Bn%3D384505%26amp%3Bdst%3D100005&amp;uid_news=1110349&amp;cli=" TargetMode="External"/><Relationship Id="rId27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LAW%26amp%3Bn%3D384729%26amp%3Bdst%3D1000000005&amp;uid_news=1110347&amp;cli=" TargetMode="External"/><Relationship Id="rId30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LAW%26amp%3Bn%3D384764%26amp%3Bdst%3D100004&amp;uid_news=1110342&amp;cli=" TargetMode="External"/><Relationship Id="rId35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LAW%26amp%3Bn%3D309480%26amp%3Bdst%3D100004&amp;uid_news=1110339&amp;cli=" TargetMode="External"/><Relationship Id="rId43" Type="http://schemas.openxmlformats.org/officeDocument/2006/relationships/image" Target="media/image9.jpeg"/><Relationship Id="rId48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LAW%26amp%3Bn%3D384270%26amp%3Bdst%3D1000000010&amp;uid_news=1110330&amp;cli=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ork.elcode.ru/subscribe/link/?hash=919ad7606700a946b12d6534e25d2b7d&amp;id_send=17232&amp;id_email=9696439&amp;url=https%3A%2F%2Flogin.consultant.ru%2Flink%2F%3Freq%3Ddoc%26amp%3Bbase%3DPBI%26amp%3Bn%3D242835%26amp%3Bdst%3D100031&amp;uid_news=1110328&amp;cli=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3334</Words>
  <Characters>19009</Characters>
  <Application>Microsoft Office Word</Application>
  <DocSecurity>0</DocSecurity>
  <Lines>158</Lines>
  <Paragraphs>44</Paragraphs>
  <ScaleCrop>false</ScaleCrop>
  <Company>ООО "ЭЛКОД"</Company>
  <LinksUpToDate>false</LinksUpToDate>
  <CharactersWithSpaces>22299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(Игонина) Анна Дмитриевна</dc:creator>
  <cp:keywords/>
  <dc:description/>
  <cp:lastModifiedBy>Ежова (Игонина) Анна Дмитриевна</cp:lastModifiedBy>
  <cp:revision>3</cp:revision>
  <dcterms:created xsi:type="dcterms:W3CDTF">2021-05-27T10:09:00Z</dcterms:created>
  <dcterms:modified xsi:type="dcterms:W3CDTF">2021-05-27T10:09:00Z</dcterms:modified>
</cp:coreProperties>
</file>