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9347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39347A" w:rsidRDefault="003934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</w:t>
                  </w:r>
                  <w:proofErr w:type="spellStart"/>
                  <w:r>
                    <w:t>КонсультантПлюс</w:t>
                  </w:r>
                  <w:proofErr w:type="spellEnd"/>
                  <w:r>
                    <w:t xml:space="preserve">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39347A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39347A" w:rsidRDefault="0039347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707B"/>
                      <w:sz w:val="21"/>
                      <w:szCs w:val="21"/>
                    </w:rPr>
                    <w:drawing>
                      <wp:inline distT="0" distB="0" distL="0" distR="0">
                        <wp:extent cx="1323975" cy="219075"/>
                        <wp:effectExtent l="0" t="0" r="9525" b="9525"/>
                        <wp:docPr id="3" name="Рисунок 3" descr="see on site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on site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347A" w:rsidRDefault="00393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28725"/>
                  <wp:effectExtent l="0" t="0" r="0" b="9525"/>
                  <wp:docPr id="2" name="Рисунок 2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9347A" w:rsidRDefault="0039347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1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Какие ошибки допускают госслужащие, </w:t>
              </w:r>
              <w:proofErr w:type="gramStart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отчитываясь о</w:t>
              </w:r>
              <w:proofErr w:type="gramEnd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 своих доходах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ознакомившись с рекомендациями Минтруда, избежать типичных ошибок, допускаемых госслужащими при представлении сведений о доходах, расходах, об имуществе и обязательствах имущественного характера.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подготовил </w:t>
            </w:r>
            <w:hyperlink r:id="rId12" w:history="1">
              <w:r>
                <w:rPr>
                  <w:rStyle w:val="a3"/>
                  <w:color w:val="0000FF"/>
                </w:rPr>
                <w:t>Обзор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типичных ошибок, допускаемых при заполнении справок о доходах, расходах, об имуществе и обязательствах имущественного характера. Проанализировав сведения, представленные госслужащими в рамках декларационных кампаний 2020-2021 года, Минфин рассказал об основных затруднениях при заполнении справок и дал рекомендации по их предотвращению.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составлении Обзора использовались </w:t>
            </w:r>
            <w:hyperlink r:id="rId13" w:history="1">
              <w:r>
                <w:rPr>
                  <w:rStyle w:val="a3"/>
                  <w:color w:val="0000FF"/>
                </w:rPr>
                <w:t>Методические рекомендации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год), подготовленные Министерством труда и социальной защиты Российской Федерации.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Наиболее часто допускаются ошибки при указании, в частности, персональных данных; реквизитов удостоверяющих документов; наименования кадрового подразделения, куда представляется справка.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Также госслужащие часто забывают указывать доходы от вкладов, в том числе закрытых в отчетном периоде; доходы по предыдущему месту работы, полученные в отчетном периоде, от работы по совместительству и договорам гражданско-правового характера; выплаты, полученные в рамках социальной и иной поддержки;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суммы материальной помощи; выигрыши в лотереях, букмекерских конторах, тотализаторах.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Чтобы помочь заполнять декларации, Минтруд ежегодно обновляет методические рекомендации. Для безупречного заполнения анкеты рекомендуется внимательно их изучить, а также скрупулезно переписывать данные с оригиналов всех документов о собственности, зарплате и имуществе.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1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Когда муниципальному служащему нельзя выплачивать выходное пособие: знакомимся с позицией суда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для выплаты служащему выходного пособия необходимо определять правовую природу всех выплат, произведенных ему в течение года перед увольнением.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Седьмой кассационный суд общей юрисдикции в </w:t>
            </w:r>
            <w:hyperlink r:id="rId16" w:history="1">
              <w:r>
                <w:rPr>
                  <w:rStyle w:val="a3"/>
                  <w:color w:val="0000FF"/>
                </w:rPr>
                <w:t>Определении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16.02.2021 по делу N 88-1882/2021 поддержал работодателя.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Администрация муниципального образования предусмотрела в трудовом договоре со служащим компенсацию на случай его увольнения по соглашению сторон. Когда такой случай наступил, сотрудник выплату не получил.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Работодатель указал, что не имел права устанавливать компенсацию. Служащий не согласился: ТК РФ разрешает закреплять в трудовых договорах дополнительные случаи для выплаты выходного пособия.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Суд встал на сторону работодателя. Применять ТК РФ надо с учетом особенностей, которые установлены в Законе о муниципальной службе.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этом законе не предусмотрена компенсация при увольнении по соглашению сторон. Все дополнительные гарантии он предписывает закреплять в региональном законе или уставе муниципального образования. Однако эти документы тоже не предполагали компенсацию.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Условие о выплате в трудовом договоре нарушает закон, поэтому применять такое условие нельзя.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1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Установлены требования к выполнению работ по </w:t>
              </w:r>
              <w:proofErr w:type="spellStart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медстатистике</w:t>
              </w:r>
              <w:proofErr w:type="spellEnd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 и организации здравоохранения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 сентября 2021 года при выполнении работ (услуг) по организации здравоохранения 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медстатистики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 должны соблюдаться лицензионные требования.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81050"/>
                  <wp:effectExtent l="0" t="0" r="9525" b="0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Минздрав России в </w:t>
            </w:r>
            <w:hyperlink r:id="rId19" w:history="1">
              <w:r>
                <w:rPr>
                  <w:rStyle w:val="a3"/>
                  <w:color w:val="0000FF"/>
                </w:rPr>
                <w:t>Приказе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29.12.2020 N 1399н определил, какие специалисты могут выполнять работы (услуги) по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медстатистике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организации здравоохранения и общественному здоровью и как нужно оборудовать рабочие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места. Приказ вступает в силу </w:t>
            </w:r>
            <w:hyperlink r:id="rId20" w:history="1">
              <w:r>
                <w:rPr>
                  <w:rStyle w:val="a3"/>
                  <w:color w:val="0000FF"/>
                </w:rPr>
                <w:t>1 сентября 2021 года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действует шесть лет.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Работы по организации здравоохранения и общественному здоровью </w:t>
            </w:r>
            <w:hyperlink r:id="rId21" w:history="1">
              <w:r>
                <w:rPr>
                  <w:rStyle w:val="a3"/>
                  <w:color w:val="0000FF"/>
                </w:rPr>
                <w:t>включают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создание предложений по повышению качества и доступности медпомощи, анализ обращений граждан и разработку мер по устранению причин таких обращений, взаимодействие с органами власти и др.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 работам (услугам) по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медстатистике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hyperlink r:id="rId22" w:history="1">
              <w:r>
                <w:rPr>
                  <w:rStyle w:val="a3"/>
                  <w:color w:val="0000FF"/>
                </w:rPr>
                <w:t>относят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в частности, ведение статистического учета и подготовку информации о деятельности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медорганизации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предоставление данных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статотчетности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кодирование записей в учетных документах в соответствии с </w:t>
            </w:r>
            <w:hyperlink r:id="rId23" w:history="1">
              <w:r>
                <w:rPr>
                  <w:rStyle w:val="a3"/>
                  <w:color w:val="0000FF"/>
                </w:rPr>
                <w:t>МКБ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выполнении работ (услуг) по организации здравоохранения и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медстатистике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нужно соблюдать </w:t>
            </w:r>
            <w:hyperlink r:id="rId24" w:history="1">
              <w:r>
                <w:rPr>
                  <w:rStyle w:val="a3"/>
                  <w:color w:val="0000FF"/>
                </w:rPr>
                <w:t>лицензионные требования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работы по обоим направлениям привлекают специалистов, которые соответствуют требованиям </w:t>
            </w:r>
            <w:hyperlink r:id="rId25" w:history="1">
              <w:proofErr w:type="spellStart"/>
              <w:r>
                <w:rPr>
                  <w:rStyle w:val="a3"/>
                  <w:color w:val="0000FF"/>
                </w:rPr>
                <w:t>профстандарта</w:t>
              </w:r>
              <w:proofErr w:type="spellEnd"/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«Специалист в области организации здравоохранения и общественного здоровья». Их рабочие места оснащают компьютером с выходом в интернет и доступом к информационной медицинской системе организации или государственной информационной системе субъекта. Также у сотрудника должны быть принтер, сканер или многофункциональное устройство.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7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9347A" w:rsidRDefault="0039347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2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ВС РФ: сверхобъемные </w:t>
              </w:r>
              <w:proofErr w:type="spellStart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медуслуги</w:t>
              </w:r>
              <w:proofErr w:type="spellEnd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, оказанные медучреждением по территориальной программе ОМС, попадают под страховое обеспечение по ОМС и подлежат оплате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если услуги оказаны сверх установленного по ОМС объема, их оплату нельзя относить к КФО 2.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Верховный Суд РФ в </w:t>
            </w:r>
            <w:hyperlink r:id="rId28" w:history="1">
              <w:r>
                <w:rPr>
                  <w:rStyle w:val="a3"/>
                  <w:color w:val="0000FF"/>
                </w:rPr>
                <w:t>Определении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23.03.2021 N 303-ЭС20-20898 по делу N А73-13378/2019 пришел к следующему выводу: сверхобъемные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медуслуги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, оказанные медучреждением по территориальной программе ОМС, попадают под страховое обеспечение по ОМС и подлежат оплате.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Учреждение превысило объемы медпомощи, которые ему установила комиссия по разработке территориальной программы ОМС. Страховая компания отказалась оплатить превышение, но через суд средства удалось взыскать.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исполнительных листах не значилось, что деньги связаны с программой ОМС. Учреждение решило отразить их как средства от приносящей доход деятельности. В таком же качестве оно их потратило. При проверке ТФОМС признал эти расходы нецелевыми.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Из судебных инстанций учреждение поддержала только </w:t>
            </w:r>
            <w:hyperlink r:id="rId29" w:history="1">
              <w:r>
                <w:rPr>
                  <w:rStyle w:val="a3"/>
                  <w:color w:val="0000FF"/>
                </w:rPr>
                <w:t>апелляция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 Остальные суды встали на сторону фонда. Точку в деле поставил ВС РФ.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Суд </w:t>
            </w:r>
            <w:hyperlink r:id="rId30" w:history="1">
              <w:r>
                <w:rPr>
                  <w:rStyle w:val="a3"/>
                  <w:color w:val="0000FF"/>
                </w:rPr>
                <w:t>указал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медпомощь сверх распределенных объемов учреждение оказывает также по </w:t>
            </w:r>
            <w:hyperlink r:id="rId31" w:history="1">
              <w:r>
                <w:rPr>
                  <w:rStyle w:val="a3"/>
                  <w:color w:val="0000FF"/>
                </w:rPr>
                <w:t>Закону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 ОМС, поэтому ее оплату нельзя считать поступлением от иной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приносящей доход деятельности. Факт взыскания средств со страховой компании значения не имеет.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Отметим: ВС РФ уже давно считает, что услуги сверх распределенных объемов учреждение оказывает </w:t>
            </w:r>
            <w:hyperlink r:id="rId32" w:history="1">
              <w:r>
                <w:rPr>
                  <w:rStyle w:val="a3"/>
                  <w:color w:val="0000FF"/>
                </w:rPr>
                <w:t>в рамках программы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ОМС.</w:t>
            </w:r>
            <w:r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</w:rPr>
              <w:t xml:space="preserve">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8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3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России опубликовал дополнение к методическим рекомендациям по применению СГФ «Нематериальные активы»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получить ответы на распространенные вопросы по применению СГФ «Нематериальные активы».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35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02.04.2021 N 02-07-07/25218 дал дополнительные рекомендации по применению стандарта «Нематериальные активы», объяснив, как перевести НМА на новые счета в зависимости от срока использования объектов.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• Как отразить неисключительные права на НМА, оставшиеся с прошлого года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Порядок учета выбирается исходя из срока, на который получено право пользования объектом. Этот срок следует отсчитывать </w:t>
            </w:r>
            <w:hyperlink r:id="rId36" w:history="1">
              <w:r>
                <w:rPr>
                  <w:rStyle w:val="a3"/>
                  <w:color w:val="0000FF"/>
                </w:rPr>
                <w:t>с 1 января 2021 года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i/>
                <w:iCs/>
                <w:color w:val="444444"/>
                <w:sz w:val="22"/>
                <w:szCs w:val="22"/>
              </w:rPr>
              <w:t>1. Срок использования актива превышает 12 месяцев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эту группу включаются объекты, у которых срок использования истечет в 2022 году или позднее.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Прежде такие объекты учитывали на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счете 01. Теперь их надо перенести на баланс. Для этого в учете необходимо </w:t>
            </w:r>
            <w:hyperlink r:id="rId37" w:history="1">
              <w:r>
                <w:rPr>
                  <w:rStyle w:val="a3"/>
                  <w:color w:val="0000FF"/>
                </w:rPr>
                <w:t>сделать записи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: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уменьшение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забалансового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счета 01;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0 106 6X 352 Кредит 0 401 50 226;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0 111 6X 352 Кредит 0 106 6X 352.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</w:t>
            </w:r>
            <w:hyperlink r:id="rId38" w:history="1">
              <w:r>
                <w:rPr>
                  <w:rStyle w:val="a3"/>
                  <w:color w:val="0000FF"/>
                </w:rPr>
                <w:t>рекомендовал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отражать операции оборотами 2021 года. Поскольку такой подход не предусмотрен в нормативных актах, рекомендуем согласовать его с учредителем и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финорганом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, а также сделать ссылку на указания ведомства в учетной политике.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2. </w:t>
            </w:r>
            <w:r>
              <w:rPr>
                <w:rFonts w:ascii="Calibri" w:hAnsi="Calibri" w:cs="Arial"/>
                <w:i/>
                <w:iCs/>
                <w:color w:val="444444"/>
                <w:sz w:val="22"/>
                <w:szCs w:val="22"/>
              </w:rPr>
              <w:t>Срок использования актива не превышает 12 месяцев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К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этой группе следует относить объекты, у которых срок использования истекает в 2021 году.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Остатки по ним со счета 401 50 </w:t>
            </w:r>
            <w:hyperlink r:id="rId39" w:history="1">
              <w:r>
                <w:rPr>
                  <w:rStyle w:val="a3"/>
                  <w:color w:val="0000FF"/>
                </w:rPr>
                <w:t>списываются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финрезультат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Проводка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отражается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первый рабочий день текущего года. Минфин уже </w:t>
            </w:r>
            <w:hyperlink r:id="rId40" w:history="1">
              <w:r>
                <w:rPr>
                  <w:rStyle w:val="a3"/>
                  <w:color w:val="0000FF"/>
                </w:rPr>
                <w:t>давал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такое указание.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Конкретные записи по балансовым и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забалансовым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счетам ведомство не привело. Рекомендуем определить их по согласованию с учредителем и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финорганом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3. </w:t>
            </w:r>
            <w:r>
              <w:rPr>
                <w:rFonts w:ascii="Calibri" w:hAnsi="Calibri" w:cs="Arial"/>
                <w:i/>
                <w:iCs/>
                <w:color w:val="444444"/>
                <w:sz w:val="22"/>
                <w:szCs w:val="22"/>
              </w:rPr>
              <w:t xml:space="preserve">У актива неопределенный срок </w:t>
            </w:r>
            <w:proofErr w:type="gramStart"/>
            <w:r>
              <w:rPr>
                <w:rFonts w:ascii="Calibri" w:hAnsi="Calibri" w:cs="Arial"/>
                <w:i/>
                <w:iCs/>
                <w:color w:val="444444"/>
                <w:sz w:val="22"/>
                <w:szCs w:val="22"/>
              </w:rPr>
              <w:t>использования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 мнению ведомства, прежде расходы на покупку таких активов </w:t>
            </w:r>
            <w:hyperlink r:id="rId41" w:history="1">
              <w:r>
                <w:rPr>
                  <w:rStyle w:val="a3"/>
                  <w:color w:val="0000FF"/>
                </w:rPr>
                <w:t>нужно было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сразу относить на счет 0 401 20 226 или счет 0 109 00 226. Поэтому сейчас корректировать остатки по счету 0 401 50 000 не нужно.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межотчетном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периоде </w:t>
            </w:r>
            <w:hyperlink r:id="rId42" w:history="1">
              <w:r>
                <w:rPr>
                  <w:rStyle w:val="a3"/>
                  <w:color w:val="0000FF"/>
                </w:rPr>
                <w:t>проводка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отражается так: Дебет 0 111 6X 353 Кредит 0 401 30 000.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Актив учитывается </w:t>
            </w:r>
            <w:hyperlink r:id="rId43" w:history="1">
              <w:r>
                <w:rPr>
                  <w:rStyle w:val="a3"/>
                  <w:color w:val="0000FF"/>
                </w:rPr>
                <w:t>по справедливой стоимости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Если ее определить нельзя, следует исходить из объема затрат на создание или приобретение объекта. Если и такой вариант неприменим, надо использовать условную стоимость: один объект – один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рубль.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• Как учитывать объекты, у которых срок использования не превышает 12 месяцев, но приходится на два календарных года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Расходы на приобретение подобных активов </w:t>
            </w:r>
            <w:hyperlink r:id="rId44" w:history="1">
              <w:r>
                <w:rPr>
                  <w:rStyle w:val="a3"/>
                  <w:color w:val="0000FF"/>
                </w:rPr>
                <w:t>отражаются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счете 0 401 50 000. Минфин России </w:t>
            </w:r>
            <w:hyperlink r:id="rId45" w:history="1">
              <w:r>
                <w:rPr>
                  <w:rStyle w:val="a3"/>
                  <w:color w:val="0000FF"/>
                </w:rPr>
                <w:t>рекомендовал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такой порядок учета для исключительных и неисключительных прав.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• Что делать с суммой амортизации по исключительным правам с неопределенным сроком использования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Прежде эти объекты </w:t>
            </w:r>
            <w:hyperlink r:id="rId46" w:history="1">
              <w:r>
                <w:rPr>
                  <w:rStyle w:val="a3"/>
                  <w:color w:val="0000FF"/>
                </w:rPr>
                <w:t>амортизировали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из расчета 10 лет использования. С текущего года амортизация по ним </w:t>
            </w:r>
            <w:hyperlink r:id="rId47" w:history="1">
              <w:r>
                <w:rPr>
                  <w:rStyle w:val="a3"/>
                  <w:color w:val="0000FF"/>
                </w:rPr>
                <w:t>не начисляется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 Суммы прошлых лет не корректируются.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инвентарной карточке учета нефинансовых активов </w:t>
            </w:r>
            <w:hyperlink r:id="rId48" w:history="1">
              <w:r>
                <w:rPr>
                  <w:rStyle w:val="a3"/>
                  <w:color w:val="0000FF"/>
                </w:rPr>
                <w:t>(ф. 0504031)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следует изменить сведения о сроках использования и амортизации объекта.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9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49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Казначейство изменило сроки окончания работы со старыми счетами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изменились сроки окончания периода направления в ГИС ГМП извещений о приеме к исполнению распоряжений о переводе денежных средств на банковские счета территориальных органов Федерального казначейства, подлежащие закрытию в связи с переходом к функционированию системы казначейских платежей.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Казначейство России в </w:t>
            </w:r>
            <w:hyperlink r:id="rId51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26.03.2021 N 07-04-05/01-6583 скорректировало сроки и уточняет, что извещение о приеме к исполнению распоряжения может быть предоставлено в Государственную информационную систему о государственных и муниципальных платежах при соблюдении следующих условий заполнения распоряжения: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в реквизите «БИК» банка-получателя указан банковский идентификационный код подразделения Банка России, содержащий в 7-9 разрядах значение «000», «001», «002»;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 в реквизите 17 «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Сч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. N» получателя средств указан счет, открытый на балансовом счете N 40101, 40302, 40501, 40601, 40701.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таблице указаны предельные даты, когда в ГИС ГМП можно направить документы на перевод денежных средств на старые банковские счета территориальных казначейских органов, подлежащие закрытию в связи с переходом на систему казначейских платежей:</w:t>
            </w:r>
          </w:p>
          <w:tbl>
            <w:tblPr>
              <w:tblW w:w="76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5"/>
              <w:gridCol w:w="4245"/>
            </w:tblGrid>
            <w:tr w:rsidR="0039347A">
              <w:tc>
                <w:tcPr>
                  <w:tcW w:w="3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Номер балансового счета</w:t>
                  </w:r>
                </w:p>
              </w:tc>
              <w:tc>
                <w:tcPr>
                  <w:tcW w:w="424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Предельная дата</w:t>
                  </w:r>
                </w:p>
              </w:tc>
            </w:tr>
            <w:tr w:rsidR="0039347A">
              <w:tc>
                <w:tcPr>
                  <w:tcW w:w="34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40101 ХХХХХХХХХХХХХХХ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 04.05.2021 включительно</w:t>
                  </w:r>
                </w:p>
              </w:tc>
            </w:tr>
            <w:tr w:rsidR="0039347A">
              <w:tc>
                <w:tcPr>
                  <w:tcW w:w="34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40302 ХХХХХХХХХХХХХХХ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 15.06.2021 включительно</w:t>
                  </w:r>
                </w:p>
              </w:tc>
            </w:tr>
            <w:tr w:rsidR="0039347A">
              <w:tc>
                <w:tcPr>
                  <w:tcW w:w="34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40501 ХХХХХХХХ2ХХХХХХ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 24.05.2021 включительно</w:t>
                  </w:r>
                </w:p>
              </w:tc>
            </w:tr>
            <w:tr w:rsidR="0039347A">
              <w:tc>
                <w:tcPr>
                  <w:tcW w:w="34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40601 ХХХХХХХХ1ХХХХХХ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40601 ХХХХХХХХ3ХХХХХХ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 12.04.2021 включительно</w:t>
                  </w:r>
                </w:p>
              </w:tc>
            </w:tr>
            <w:tr w:rsidR="0039347A">
              <w:tc>
                <w:tcPr>
                  <w:tcW w:w="34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40701ХХХХХХХХ1ХХХХХХ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40701 ХХХХХХХХ3ХХХХХХ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39347A" w:rsidRDefault="0039347A">
                  <w:pPr>
                    <w:pStyle w:val="a4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 28.06.2021 включительно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9347A" w:rsidRDefault="0039347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МОСКВА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5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Москва: изменен порядок выплаты компенсации педагогическим работникам, участвующим в подготовке и проведении итоговой аттестации по образовательным программам основного и среднего общего образования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узнать, кому из педагогических работников положена компенсация за участие в подготовке государственной итоговой аттестации.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6675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4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Москвы от 30.03.2021 N 367-ПП внесены изменения в </w:t>
            </w:r>
            <w:hyperlink r:id="rId55" w:history="1">
              <w:r>
                <w:rPr>
                  <w:rStyle w:val="a3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Москвы от 04.05.2011 N 184-ПП «Об утверждении Порядка выплаты компенсации педагогическим работникам,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образования».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Уточнено, что выплата компенсации производится категориям педагогических работников, участвующих в подготовке и проведении государственной итоговой аттестации (ГИА): членам предметных комиссий, задействованным в работе конфликтной комиссии при рассмотрении апелляций о несогласии с выставленными баллами, членам предметных комиссий, не задействованным в работе конфликтной комиссии при рассмотрении апелляций о несогласии с выставленными баллами, членам конфликтной комиссии, техническим специалистам, организаторам в аудиториях пунктов проведения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ГИА, организаторам вне аудиторий пунктов проведения ГИА, руководителям пунктов проведения ГИА, ассистентам лиц с ограниченными возможностями здоровья, детей-инвалидов и инвалидов, членам государственных экзаменационных комиссий, экзаменаторам-собеседникам государственного выпускного экзамена в устной форме, специалистам-экспертам по проведению инструктажа, обеспечению лабораторных работ и оцениванию выполнения лабораторных работ, членам комиссии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тифлопереводчиков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>, лицам, осуществляющим обработку экзаменационных работ ГИА.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  <w:proofErr w:type="gramEnd"/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9347A" w:rsidRDefault="0039347A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hyperlink r:id="rId56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При безвозмездном принятии ОС для счета </w:t>
              </w:r>
              <w:proofErr w:type="gramStart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106.31</w:t>
              </w:r>
              <w:proofErr w:type="gramEnd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 какой КПС применяется – с 000 или 244? </w:t>
              </w:r>
            </w:hyperlink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9347A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 счету 106 31 при формировании номера счета следует применять КПС вида «КРБ» с указанием вида расходов 244. </w:t>
                  </w:r>
                </w:p>
              </w:tc>
            </w:tr>
          </w:tbl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39347A" w:rsidRDefault="0039347A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58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соотносится классификационный признак номера счета и статьи КОСГУ» в СПС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КонсультантПлюс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разъяснено, что классификационный признак номера счета отражается в 1-17 разрядах номера счета (</w:t>
            </w:r>
            <w:hyperlink r:id="rId59" w:tgtFrame="_blank" w:history="1">
              <w:r>
                <w:rPr>
                  <w:rStyle w:val="a3"/>
                  <w:color w:val="0000FF"/>
                </w:rPr>
                <w:t>п. 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Инструкции N 157н). Коды </w:t>
            </w:r>
            <w:hyperlink r:id="rId60" w:tgtFrame="_blank" w:history="1">
              <w:r>
                <w:rPr>
                  <w:rStyle w:val="a3"/>
                  <w:color w:val="0000FF"/>
                </w:rPr>
                <w:t>КОСГУ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не включаются в КПС, но напрямую зависят от него, так как входят в бюджетную классификацию РФ (</w:t>
            </w:r>
            <w:hyperlink r:id="rId61" w:tgtFrame="_blank" w:history="1">
              <w:r>
                <w:rPr>
                  <w:rStyle w:val="a3"/>
                  <w:color w:val="0000FF"/>
                </w:rPr>
                <w:t>ст. 19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БК РФ, </w:t>
            </w:r>
            <w:hyperlink r:id="rId62" w:tgtFrame="_blank" w:history="1">
              <w:r>
                <w:rPr>
                  <w:rStyle w:val="a3"/>
                  <w:color w:val="0000FF"/>
                </w:rPr>
                <w:t>п. 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Порядка N 85н).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Коды </w:t>
            </w:r>
            <w:hyperlink r:id="rId63" w:tgtFrame="_blank" w:history="1">
              <w:r>
                <w:rPr>
                  <w:rStyle w:val="a3"/>
                  <w:color w:val="0000FF"/>
                </w:rPr>
                <w:t>КОСГУ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входят в аналитический код номера счета рабочего плана счетов, 24-26 разряды которого включают статью (подстатью) КОСГУ (</w:t>
            </w:r>
            <w:hyperlink r:id="rId64" w:tgtFrame="_blank" w:history="1">
              <w:r>
                <w:rPr>
                  <w:rStyle w:val="a3"/>
                  <w:color w:val="0000FF"/>
                </w:rPr>
                <w:t>п. 19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Федерального стандарта N 256н, </w:t>
            </w:r>
            <w:hyperlink r:id="rId65" w:tgtFrame="_blank" w:history="1">
              <w:r>
                <w:rPr>
                  <w:rStyle w:val="a3"/>
                  <w:color w:val="0000FF"/>
                </w:rPr>
                <w:t>п. 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Инструкции N 157н).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 составлении и исполнении расходной части бюджета применяется 20-значный код (4-20 разряды кода расходов бюджетов) классификации расходов бюджета (КРБ), в</w:t>
            </w:r>
            <w:r>
              <w:rPr>
                <w:rStyle w:val="a5"/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15-17 разрядах которого отражаются </w:t>
            </w:r>
            <w:hyperlink r:id="rId66" w:tgtFrame="_blank" w:history="1">
              <w:r>
                <w:rPr>
                  <w:rStyle w:val="a3"/>
                  <w:color w:val="0000FF"/>
                </w:rPr>
                <w:t>КВР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определения кода </w:t>
            </w:r>
            <w:hyperlink r:id="rId67" w:tgtFrame="_blank" w:history="1">
              <w:r>
                <w:rPr>
                  <w:rStyle w:val="a3"/>
                  <w:color w:val="0000FF"/>
                </w:rPr>
                <w:t>КОСГУ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необходимо использовать </w:t>
            </w:r>
            <w:hyperlink r:id="rId68" w:tgtFrame="_blank" w:history="1">
              <w:r>
                <w:rPr>
                  <w:rStyle w:val="a3"/>
                  <w:color w:val="0000FF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N 209н и </w:t>
            </w:r>
            <w:hyperlink r:id="rId69" w:tgtFrame="_blank" w:history="1">
              <w:r>
                <w:rPr>
                  <w:rStyle w:val="a3"/>
                  <w:color w:val="0000FF"/>
                </w:rPr>
                <w:t>Руководство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по применению КОСГУ, направленное Письмом Минфина России от 27.12.2019 N 02-08-10/102939.</w:t>
            </w:r>
          </w:p>
          <w:p w:rsidR="0039347A" w:rsidRDefault="0039347A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Правила использования КВР определены в </w:t>
            </w:r>
            <w:hyperlink r:id="rId70" w:tgtFrame="_blank" w:history="1">
              <w:r>
                <w:rPr>
                  <w:rStyle w:val="a3"/>
                  <w:color w:val="0000FF"/>
                </w:rPr>
                <w:t>Порядке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N 85н (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instrText xml:space="preserve"> HYPERLINK "http://work.elcode.ru/subscribe/link/?hash=58c3d5d4a10122a71533b06b355c0109&amp;id_send=16937&amp;id_email=9270789&amp;url=https%3A%2F%2Flogin.consultant.ru%2Flink%2F%3Freq%3Ddoc%26amp%3Bbase%3DLAW%26amp%3Bn%3D378372%26amp%3Bdst%3D101645&amp;uid_news=1073153&amp;cli=" \t "_blank" </w:instrTex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fldChar w:fldCharType="separate"/>
            </w:r>
            <w:r>
              <w:rPr>
                <w:rStyle w:val="a3"/>
                <w:color w:val="0000FF"/>
              </w:rPr>
              <w:t>пп</w:t>
            </w:r>
            <w:proofErr w:type="spellEnd"/>
            <w:r>
              <w:rPr>
                <w:rStyle w:val="a3"/>
                <w:color w:val="0000FF"/>
              </w:rPr>
              <w:t>. 45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t>, </w:t>
            </w:r>
            <w:hyperlink r:id="rId71" w:tgtFrame="_blank" w:history="1">
              <w:r>
                <w:rPr>
                  <w:rStyle w:val="a3"/>
                  <w:color w:val="0000FF"/>
                </w:rPr>
                <w:t>46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 </w:t>
            </w:r>
            <w:hyperlink r:id="rId72" w:tgtFrame="_blank" w:history="1">
              <w:r>
                <w:rPr>
                  <w:rStyle w:val="a3"/>
                  <w:color w:val="0000FF"/>
                </w:rPr>
                <w:t>48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Порядка).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39347A" w:rsidTr="0039347A">
        <w:trPr>
          <w:trHeight w:val="181"/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39347A" w:rsidRDefault="003934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22in;height:.75pt" o:hralign="center" o:hrstd="t" o:hr="t" fillcolor="#a0a0a0" stroked="f"/>
              </w:pict>
            </w: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39347A" w:rsidRDefault="0039347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57150"/>
                  <wp:effectExtent l="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r:link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47A" w:rsidTr="0039347A">
        <w:trPr>
          <w:trHeight w:val="2250"/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39347A" w:rsidRDefault="003934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347A" w:rsidTr="0039347A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9347A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39347A" w:rsidRDefault="0039347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9347A" w:rsidRDefault="0039347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7640B" w:rsidRDefault="0039347A">
      <w:bookmarkStart w:id="0" w:name="_GoBack"/>
      <w:bookmarkEnd w:id="0"/>
    </w:p>
    <w:sectPr w:rsidR="0067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4"/>
    <w:rsid w:val="0039347A"/>
    <w:rsid w:val="00900940"/>
    <w:rsid w:val="00B15964"/>
    <w:rsid w:val="00B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47A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9347A"/>
  </w:style>
  <w:style w:type="character" w:customStyle="1" w:styleId="title-main">
    <w:name w:val="title-main"/>
    <w:basedOn w:val="a0"/>
    <w:rsid w:val="0039347A"/>
  </w:style>
  <w:style w:type="character" w:styleId="a5">
    <w:name w:val="Strong"/>
    <w:basedOn w:val="a0"/>
    <w:uiPriority w:val="22"/>
    <w:qFormat/>
    <w:rsid w:val="00393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3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4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47A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9347A"/>
  </w:style>
  <w:style w:type="character" w:customStyle="1" w:styleId="title-main">
    <w:name w:val="title-main"/>
    <w:basedOn w:val="a0"/>
    <w:rsid w:val="0039347A"/>
  </w:style>
  <w:style w:type="character" w:styleId="a5">
    <w:name w:val="Strong"/>
    <w:basedOn w:val="a0"/>
    <w:uiPriority w:val="22"/>
    <w:qFormat/>
    <w:rsid w:val="00393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3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4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3511%26amp%3Bdst%3D100008&amp;uid_news=1073467&amp;cli=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ARB%26n%3D660066%26dst%3D1000000002&amp;uid_news=1073261&amp;cli=" TargetMode="External"/><Relationship Id="rId39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09&amp;uid_news=1073238&amp;cli=" TargetMode="External"/><Relationship Id="rId21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537%26amp%3Bdst%3D100015&amp;uid_news=1073306&amp;cli=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13&amp;uid_news=1073238&amp;cli=" TargetMode="External"/><Relationship Id="rId47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21&amp;uid_news=1073238&amp;cli=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MLAW%26amp%3Bn%3D211154%26amp%3Bdst%3D1000000003&amp;uid_news=1073195&amp;cli=" TargetMode="External"/><Relationship Id="rId63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7442%26amp%3Bdst%3D101121&amp;uid_news=1073153&amp;cli=" TargetMode="External"/><Relationship Id="rId68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7442%26amp%3Bdst%3D100011&amp;uid_news=1073153&amp;cli=" TargetMode="External"/><Relationship Id="rId76" Type="http://schemas.openxmlformats.org/officeDocument/2006/relationships/theme" Target="theme/theme1.xml"/><Relationship Id="rId7" Type="http://schemas.openxmlformats.org/officeDocument/2006/relationships/image" Target="cid:db7e670a2a9d10ee9232981b9c3a7240@swift.generated" TargetMode="External"/><Relationship Id="rId71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8372%26amp%3Bdst%3D101646&amp;uid_news=1073153&amp;cli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KSOJ007%26amp%3Bn%3D26614%26amp%3Bdst%3D100006&amp;uid_news=1073313&amp;cli=" TargetMode="External"/><Relationship Id="rId29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ARB%26amp%3Bn%3D660066%26amp%3Bdst%3D100015&amp;uid_news=1073261&amp;cli=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9426%26amp%3Bdst%3D100047&amp;uid_news=1073306&amp;cli=" TargetMode="External"/><Relationship Id="rId32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14991%26amp%3Bdst%3D100593&amp;uid_news=1073261&amp;cli=" TargetMode="External"/><Relationship Id="rId37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06&amp;uid_news=1073238&amp;cli=" TargetMode="External"/><Relationship Id="rId40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1140%26amp%3Bdst%3D100356&amp;uid_news=1073238&amp;cli=" TargetMode="External"/><Relationship Id="rId45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14&amp;uid_news=1073238&amp;cli=" TargetMode="External"/><Relationship Id="rId53" Type="http://schemas.openxmlformats.org/officeDocument/2006/relationships/image" Target="media/image9.jpeg"/><Relationship Id="rId58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PKBO%26amp%3Bn%3D46269%26amp%3Bdst%3D100006&amp;uid_news=1073153&amp;cli=" TargetMode="External"/><Relationship Id="rId66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8372%26amp%3Bdst%3D132366&amp;uid_news=1073153&amp;cli=" TargetMode="External"/><Relationship Id="rId74" Type="http://schemas.openxmlformats.org/officeDocument/2006/relationships/image" Target="cid:18533215b0418cb9d32016816296bd03@swift.generated" TargetMode="External"/><Relationship Id="rId5" Type="http://schemas.openxmlformats.org/officeDocument/2006/relationships/hyperlink" Target="http://work.elcode.ru/subscribe/mail/?hash=58c3d5d4a10122a71533b06b355c0109&amp;id_send=16937&amp;id_email=9270789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EXP%26amp%3Bn%3D731991&amp;uid_news=1073306&amp;cli=" TargetMode="External"/><Relationship Id="rId28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ARB%26amp%3Bn%3D660066%26amp%3Bdst%3D100002&amp;uid_news=1073261&amp;cli=" TargetMode="External"/><Relationship Id="rId36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06&amp;uid_news=1073238&amp;cli=" TargetMode="External"/><Relationship Id="rId49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LAW%26n%3D381083%26dst%3D100004&amp;uid_news=1073223&amp;cli=" TargetMode="External"/><Relationship Id="rId57" Type="http://schemas.openxmlformats.org/officeDocument/2006/relationships/image" Target="media/image10.jpeg"/><Relationship Id="rId61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55977%26amp%3Bdst%3D954&amp;uid_news=1073153&amp;cli=" TargetMode="External"/><Relationship Id="rId10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LAW%26n%3D381709%26dst%3D1000000003&amp;uid_news=1073467&amp;cli=" TargetMode="External"/><Relationship Id="rId19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537%26amp%3Bdst%3D1000000007&amp;uid_news=1073306&amp;cli=" TargetMode="External"/><Relationship Id="rId31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7757&amp;uid_news=1073261&amp;cli=" TargetMode="External"/><Relationship Id="rId44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17&amp;uid_news=1073238&amp;cli=" TargetMode="External"/><Relationship Id="rId52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MLAW%26n%3D211108%26dst%3D100003&amp;uid_news=1073195&amp;cli=" TargetMode="External"/><Relationship Id="rId60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7442%26amp%3Bdst%3D101121&amp;uid_news=1073153&amp;cli=" TargetMode="External"/><Relationship Id="rId65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4484%26amp%3Bdst%3D402&amp;uid_news=1073153&amp;cli=" TargetMode="External"/><Relationship Id="rId73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cid:d7f1702a8a51bf5b6a798c43895f6cdc@swift.generated" TargetMode="External"/><Relationship Id="rId14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KSOJ007%26n%3D26614%26dst%3D100006&amp;uid_news=1073313&amp;cli=" TargetMode="External"/><Relationship Id="rId22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537%26amp%3Bdst%3D100051&amp;uid_news=1073306&amp;cli=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ARB%26amp%3Bn%3D660066%26amp%3Bdst%3D100016&amp;uid_news=1073261&amp;cli=" TargetMode="External"/><Relationship Id="rId35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05&amp;uid_news=1073238&amp;cli=" TargetMode="External"/><Relationship Id="rId43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13&amp;uid_news=1073238&amp;cli=" TargetMode="External"/><Relationship Id="rId48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2627%26amp%3Bdst%3D102553&amp;uid_news=1073238&amp;cli=" TargetMode="External"/><Relationship Id="rId56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PKBO%26n%3D46269%26dst%3D100001&amp;uid_news=1073153&amp;cli=" TargetMode="External"/><Relationship Id="rId64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2262%26amp%3Bdst%3D100061&amp;uid_news=1073153&amp;cli=" TargetMode="External"/><Relationship Id="rId69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42259%26amp%3Bdst%3D100006&amp;uid_news=1073153&amp;cli=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083%26amp%3Bdst%3D100005&amp;uid_news=1073223&amp;cli=" TargetMode="External"/><Relationship Id="rId72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8372%26amp%3Bdst%3D101670&amp;uid_news=1073153&amp;cli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709%26amp%3Bdst%3D1000000003&amp;uid_news=1073467&amp;cli=" TargetMode="External"/><Relationship Id="rId17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LAW%26n%3D381537%26dst%3D1000000005&amp;uid_news=1073306&amp;cli=" TargetMode="External"/><Relationship Id="rId25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284077%26amp%3Bdst%3D100009&amp;uid_news=1073306&amp;cli=" TargetMode="External"/><Relationship Id="rId33" Type="http://schemas.openxmlformats.org/officeDocument/2006/relationships/hyperlink" Target="http://work.elcode.ru/subscribe/link/?hash=58c3d5d4a10122a71533b06b355c0109&amp;id_send=16937&amp;id_email=9270789&amp;url=https%3A%2F%2Flogin.consultant.ru%2Flink%2F%3Freq%3Ddoc%26base%3DLAW%26n%3D381662%26dst%3D100003&amp;uid_news=1073238&amp;cli=" TargetMode="External"/><Relationship Id="rId38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06&amp;uid_news=1073238&amp;cli=" TargetMode="External"/><Relationship Id="rId46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19&amp;uid_news=1073238&amp;cli=" TargetMode="External"/><Relationship Id="rId59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4484%26amp%3Bdst%3D393&amp;uid_news=1073153&amp;cli=" TargetMode="External"/><Relationship Id="rId67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67442%26amp%3Bdst%3D101121&amp;uid_news=1073153&amp;cli=" TargetMode="External"/><Relationship Id="rId20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537%26amp%3Bdst%3D100009&amp;uid_news=1073306&amp;cli=" TargetMode="External"/><Relationship Id="rId41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81662%26amp%3Bdst%3D100011&amp;uid_news=1073238&amp;cli=" TargetMode="External"/><Relationship Id="rId54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MLAW%26amp%3Bn%3D211108%26amp%3Bdst%3D1000000003&amp;uid_news=1073195&amp;cli=" TargetMode="External"/><Relationship Id="rId62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8372%26amp%3Bdst%3D100017&amp;uid_news=1073153&amp;cli=" TargetMode="External"/><Relationship Id="rId70" Type="http://schemas.openxmlformats.org/officeDocument/2006/relationships/hyperlink" Target="http://work.elcode.ru/subscribe/link/?hash=58c3d5d4a10122a71533b06b355c0109&amp;id_send=16937&amp;id_email=9270789&amp;url=https%3A%2F%2Flogin.consultant.ru%2Flink%2F%3Freq%3Ddoc%26amp%3Bbase%3DLAW%26amp%3Bn%3D378372%26amp%3Bdst%3D100011&amp;uid_news=1073153&amp;cli=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4324</Words>
  <Characters>24647</Characters>
  <Application>Microsoft Office Word</Application>
  <DocSecurity>0</DocSecurity>
  <Lines>205</Lines>
  <Paragraphs>57</Paragraphs>
  <ScaleCrop>false</ScaleCrop>
  <Company>ООО "ЭЛКОД"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(Игонина) Анна Дмитриевна</dc:creator>
  <cp:keywords/>
  <dc:description/>
  <cp:lastModifiedBy>Ежова (Игонина) Анна Дмитриевна</cp:lastModifiedBy>
  <cp:revision>3</cp:revision>
  <dcterms:created xsi:type="dcterms:W3CDTF">2021-04-15T10:06:00Z</dcterms:created>
  <dcterms:modified xsi:type="dcterms:W3CDTF">2021-04-15T10:07:00Z</dcterms:modified>
</cp:coreProperties>
</file>