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36FB" w:rsidRPr="000036FB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0036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0036FB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0036FB" w:rsidRPr="000036FB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2E6DF" wp14:editId="021FE609">
                  <wp:extent cx="5720080" cy="1233170"/>
                  <wp:effectExtent l="0" t="0" r="0" b="5080"/>
                  <wp:docPr id="11" name="Рисунок 1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036F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Минздрав планирует изменить Положение о лицензионной медицинской деятельности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изменениями, которые планируют внести в Положение о лицензировании медицинской деятельности.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423EA44D" wp14:editId="7832077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2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С целью приведения Положения о лицензировании медицинской деятельности в соответствие с действующими нормативными правовыми актами, а также уточнения требований к лицензиату и медорганизации, претендующей на получение лицензии, и корректировки перечня работ (услуг), составляющих меддеятельность, Минздрав подготовил </w:t>
            </w:r>
            <w:hyperlink r:id="rId10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Проект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Постановления Правительства РФ, который в данное время находится на общественном обсуждении.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Из основных новшеств особое внимание стоит уделить следующим: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– лицензии, выданные до принятия обновленного Постановления, должны быть переоформлены в течение года со дня вступления документа в силу;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в случае принятия Проекта новые лицензионные правила будут действовать с 1 сентября 2021 года по 1 сентября 2027 года.</w:t>
            </w:r>
            <w:r w:rsidRPr="000036FB">
              <w:rPr>
                <w:rFonts w:eastAsia="Calibri" w:cs="Arial"/>
                <w:color w:val="444444"/>
                <w:lang w:eastAsia="ru-RU"/>
              </w:rPr>
              <w:br/>
            </w:r>
            <w:r w:rsidRPr="000036FB">
              <w:rPr>
                <w:rFonts w:eastAsia="Calibri" w:cs="Arial"/>
                <w:b/>
                <w:bCs/>
                <w:color w:val="444444"/>
                <w:lang w:eastAsia="ru-RU"/>
              </w:rPr>
              <w:t>Требования к соискателю лицензии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Руководитель соискателя лицензии и его заместители смогут иметь не только высшее образование и свидетельство об аккредитации или сертификат по специальности «Организация здравоохранения и общественное здоровье», как </w:t>
            </w:r>
            <w:hyperlink r:id="rId11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сейчас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>, но и свидетельство об аккредитации или сертификат «Управление сестринской деятельностью». Если же лицензиат намерен оказывать первичную доврачебную помощь, то у таких лиц может быть: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высшее образование (бакалавриат) по направлению «Сестринское дело» и свидетельство об аккредитации или сертификат по специальности «Управление сестринской деятельностью»;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– среднее профобразование и свидетельство об аккредитации или сертификат по </w:t>
            </w:r>
            <w:r w:rsidRPr="000036FB">
              <w:rPr>
                <w:rFonts w:eastAsia="Calibri" w:cs="Arial"/>
                <w:color w:val="444444"/>
                <w:lang w:eastAsia="ru-RU"/>
              </w:rPr>
              <w:lastRenderedPageBreak/>
              <w:t xml:space="preserve">специальности «Организация сестринского дела».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b/>
                <w:bCs/>
                <w:color w:val="444444"/>
                <w:lang w:eastAsia="ru-RU"/>
              </w:rPr>
              <w:t>Требования к лицензиату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Лицензиат должен будет соблюдать не только порядки оказания медпомощи, как </w:t>
            </w:r>
            <w:hyperlink r:id="rId12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сейчас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>, но и требования: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правил проведения лабораторных, инструментальных, патолого-анатомических и иных видов диагностических исследований;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положения об организации оказания медпомощи по видам;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порядка организации медреабилитации и санаторно-курортного лечения;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порядков организации и проведения медэкспертиз, диспансеризации, диспансерного наблюдения, медосмотров и медосвидетельствования.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Невыполнение этих правил будет считаться грубым нарушением лицензионных требований.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Кроме того, появится новое требование – размещение </w:t>
            </w:r>
            <w:hyperlink r:id="rId13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о медорганизации в ЕГИЗС.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b/>
                <w:bCs/>
                <w:color w:val="444444"/>
                <w:lang w:eastAsia="ru-RU"/>
              </w:rPr>
              <w:t>Виды медицинской деятельности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Из </w:t>
            </w:r>
            <w:hyperlink r:id="rId14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перечня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работ (услуг), составляющих меддеятельность, планируют исключить работы по наркологии, гигиене в стоматологии, неотложной медпомощи, операционному делу, организации сестринского дела и др.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Некоторые работы будут объединены в одну, например, медицинская микробиология будет включать работы по бактериологии, вирусологии, лабораторной микологии, паразитологии.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Появятся и новые работы, в том числе по реабилитационному сестринскому делу.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Проект находится на публичном обсуждении до 6 апреля 2021 года включительно.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Планируется, что документ вступит в силу 1 сентября 2021 года.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В случае принятия законопроекта </w:t>
            </w:r>
            <w:hyperlink r:id="rId15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> Правительства РФ от 16.04.2012 N 291 «О лицензировании медицинской деятельности» и все внесенные в него изменения утратят силу. 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84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Минюст предложил не наказывать чиновников за коррупцию при форс-мажоре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коррупционные действия, совершенные при обстоятельствах непреодолимой силы, не будут считаться правонарушением.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13A04FB1" wp14:editId="081E04A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Минюст совместно с МВД, Генпрокуратурой, Следственным комитетом разработал </w:t>
            </w:r>
            <w:hyperlink r:id="rId18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Проект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федерального закона, которым предлагается внести изменения в Федеральный </w:t>
            </w:r>
            <w:hyperlink r:id="rId19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от 25.12.2008 N 273-ФЗ «О противодействии коррупции», направленные на освобождение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 физических лиц, в отношении которых федеральными законами в целях противодействия коррупции установлена такая ответственность.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Планируют не наказывать физлиц, если они: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– не выполнили свои обязанности по противодействию коррупции;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не соблюдали антикоррупционные ограничения и запреты;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– нарушили требование предотвратить или урегулировать конфликт интересов.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lastRenderedPageBreak/>
              <w:t>Ответственность не наступит, если обстоятельства не зависели от действий виновного (например, были пожары, стихийные бедствия, массовые заболевания). Оценивать обстоятельства будет комиссия по соблюдению требований к служебному поведению госслужащих (муниципальных служащих).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Физлицо будет обязано в течение трех рабочих дней со дня, когда ему стало известно об особых обстоятельствах, подать в комиссию уведомление и подтверждающие документы. Уведомление сможет подать и подразделение кадровой службы по профилактике коррупционных и иных нарушений.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Устранить нарушения придется не позднее чем через один месяц со дня, когда действие обстоятельств прекратится.</w:t>
            </w:r>
            <w:r w:rsidRPr="000036FB">
              <w:rPr>
                <w:rFonts w:eastAsia="Calibri" w:cs="Arial"/>
                <w:color w:val="444444"/>
                <w:lang w:eastAsia="ru-RU"/>
              </w:rPr>
              <w:br/>
              <w:t>Законопроект принят Госдумой в первом чтении.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85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036F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Компенсация за досрочное увольнение: что с НДФЛ и страховыми взносами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дополнительная компенсация за досрочное увольнение при сокращении не облагается НДФЛ и страховыми взносами.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7E87B5AB" wp14:editId="375163D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Минфин России в </w:t>
            </w:r>
            <w:hyperlink r:id="rId22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от 15.02.2021 N 03-04-05/10004 разослал разъяснения о НДФЛ и страховых взносах с дополнительной компенсации, выплачиваемой в случае расторжения трудового договора с работником до истечения срока предупреждения об увольнении.</w:t>
            </w:r>
            <w:r w:rsidRPr="000036FB">
              <w:rPr>
                <w:rFonts w:eastAsia="Calibri" w:cs="Arial"/>
                <w:color w:val="444444"/>
                <w:lang w:eastAsia="ru-RU"/>
              </w:rPr>
              <w:br/>
              <w:t>Учреждение вправе с согласия работника расторгнуть с ним трудовой договор до истечения двухмесячного срока, выплатив компенсацию в размере среднего заработка. Начислять страховые взносы и НДФЛ на нее не нужно. Также не надо складывать ее с другими выплатами работника, чтобы определить, не превышен ли необлагаемый лимит (трехкратный среднемесячный заработок, а для районов Крайнего Севера – шестикратный).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Ранее Минфин уже давал аналогичные разъяснения.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86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Школы должны применять новый код вида дохода по НДФЛ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государственные и муниципальные общеобразовательные организации должны будут использовать код дохода 2004 по НДФЛ в регистрах налогового учета и применять его для выплат ежемесячного денежного вознаграждения за классное руководство из средств федерального бюджета.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2336" behindDoc="0" locked="0" layoutInCell="1" allowOverlap="0" wp14:anchorId="6876DF98" wp14:editId="336CC0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Министерство Просвещения РФ в </w:t>
            </w:r>
            <w:hyperlink r:id="rId25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от 28.01.2021 N 08-151 направило информацию Федеральной налоговой службы о введении нового кода дохода 2004 «Суммы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производимые за счет средств федерального бюджета», который необходимо использовать в регистрах налогового учета.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ФНС России разработан </w:t>
            </w:r>
            <w:hyperlink r:id="rId26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проект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Приказа «О внесении изменений в приложения N 1 и N 2 к </w:t>
            </w:r>
            <w:hyperlink r:id="rId27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Приказу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ФНС России от 10.09.2015 N ММВ-7-11/387@ "Об утверждении кодов видов доходов и вычетов"», в котором предусмотрен код дохода </w:t>
            </w:r>
            <w:hyperlink r:id="rId28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2004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«Суммы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производимые за счет средств федерального бюджета».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87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отражать в бухгалтерском учете принятые денежные обязательства по ранее предъявленным к бюджетному учреждению исковым требованиям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возмещение средств учреждения за счет субсидии по решению суда следует отражать в учете на момент вступления в силу решения суда.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23B1B004" wp14:editId="72BA49E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​</w:t>
            </w:r>
            <w:bookmarkStart w:id="0" w:name="_GoBack"/>
            <w:bookmarkEnd w:id="0"/>
            <w:r w:rsidRPr="000036FB">
              <w:rPr>
                <w:rFonts w:eastAsia="Calibri" w:cs="Arial"/>
                <w:color w:val="444444"/>
                <w:lang w:eastAsia="ru-RU"/>
              </w:rPr>
              <w:t xml:space="preserve">В </w:t>
            </w:r>
            <w:hyperlink r:id="rId31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от 28.01.2021 N 02-06-10/5366 Минфин России разъяснил, как отражать возмещение средств учреждения за счет субсидии по решению суда. Денежное обязательство по ранее предъявленным исковым требованиям учреждение </w:t>
            </w:r>
            <w:hyperlink r:id="rId32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признает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в момент вступления в силу решения суда.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Ведомство </w:t>
            </w:r>
            <w:hyperlink r:id="rId33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напомнило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: по ГПК РФ этот срок наступает по истечении времени на обжалование решения, если оно не оспорено. На подачу апелляционной жалобы </w:t>
            </w:r>
            <w:hyperlink r:id="rId34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отводится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месяц.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88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скорректировал таблицу увязок КВР и кодов КОСГУ на 2021 год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9 марта 2021 года при планировании расходов необходимо учесть увязки новых КВР с КОСГУ.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011865E9" wp14:editId="200A45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Минфин России подготовил сопоставительную </w:t>
            </w:r>
            <w:hyperlink r:id="rId37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Таблицу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соответствия КВР и КОСГУ на 2021 год (</w:t>
            </w:r>
            <w:hyperlink r:id="rId38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> Минфина от 09.03.2021). В ней есть несколько отличий от действующей.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Перед применением КВР необходимо проверить его увязку: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1) с разделом (подразделом) КБК. Это можно сделать по </w:t>
            </w:r>
            <w:r w:rsidRPr="000036FB">
              <w:rPr>
                <w:rFonts w:eastAsia="Calibri" w:cs="Arial"/>
                <w:color w:val="444444"/>
                <w:lang w:eastAsia="ru-RU"/>
              </w:rPr>
              <w:lastRenderedPageBreak/>
              <w:t>Таблице соответствия, доведенной Минфином России;</w:t>
            </w:r>
            <w:r w:rsidRPr="000036FB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0036FB">
              <w:rPr>
                <w:rFonts w:eastAsia="Calibri" w:cs="Arial"/>
                <w:color w:val="444444"/>
                <w:lang w:eastAsia="ru-RU"/>
              </w:rPr>
              <w:t xml:space="preserve">2) со статьей (подстатьей) </w:t>
            </w:r>
            <w:hyperlink r:id="rId39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КОСГУ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на основании разработанной Минфином России </w:t>
            </w:r>
            <w:hyperlink r:id="rId40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Таблицы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соответствия;</w:t>
            </w:r>
            <w:r w:rsidRPr="000036FB">
              <w:rPr>
                <w:rFonts w:eastAsia="Calibri" w:cs="Arial"/>
                <w:color w:val="444444"/>
                <w:lang w:eastAsia="ru-RU"/>
              </w:rPr>
              <w:br/>
              <w:t xml:space="preserve">3) для КВР, применяемых в 2021 году и плановом периоде 2022 и 2023 годах, – с изменениями в видах расходов, которые действуют в 2020 году к КВР, применяемым в 2021 году и плановом периоде 2022 и 2023 годах при составлении и исполнении бюджетов бюджетной системы РФ. Это можно сделать по Сопоставительной </w:t>
            </w:r>
            <w:hyperlink r:id="rId41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таблице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, разработанной Минфином России.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89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036F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выдать СТД-Р, если сотрудник не вышел в день увольнения?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если работник в день прекращения трудового договора отсутствовал или отказался забрать сведения в форме СТД-Р, их необходимо заверить надлежащим образом и направить работнику на бумажном носителе по почте заказным письмом с уведомлением, сохранив почтовую квитанцию об отправке такого письма.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1558C653" wp14:editId="09BD1DE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В </w:t>
            </w:r>
            <w:hyperlink r:id="rId44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«Какие документы и в какой срок нужно выдать работнику при увольнении» в СПС КонсультантПлюс разъясняется следующее: по закону сведения о трудовой деятельности по форме СТД-Р кадровик обязан выдать по заявлению работника при увольнении в день прекращения трудового договора. Если работник в день прекращения трудового договора отсутствовал или отказался забрать сведения о трудовой деятельности, их необходимо заверить надлежащим образом и направить ему на бумажном носителе по почте заказным письмом с уведомлением. Почтовую квитанцию об отправке такого письма следует сохранить.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90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платить педагогам, если школа ввела дополнительные рабочие субботы?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если в трудовом договоре и/или правилах внутреннего трудового распорядка работникам установлен шестидневный режим рабочей недели, то суббота в соответствии с графиком работы является рабочим днем и, следовательно, не оплачивается в двойном размере.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7C6C9EA5" wp14:editId="6E0F08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Эксперт портала </w:t>
            </w:r>
            <w:hyperlink r:id="rId46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«Онлайнинспекция.РФ»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 дал следующие разъяснения: при обстоятельствах, когда нагрузка (36 часов в неделю) подлежит распределению на шестидневную рабочую неделю с учетом специфики педагогической деятельности, сам </w:t>
            </w:r>
            <w:r w:rsidRPr="000036FB">
              <w:rPr>
                <w:rFonts w:eastAsia="Calibri" w:cs="Arial"/>
                <w:color w:val="444444"/>
                <w:lang w:eastAsia="ru-RU"/>
              </w:rPr>
              <w:lastRenderedPageBreak/>
              <w:t xml:space="preserve">по себе факт работы по субботам не является работой в выходные дни и не влечет за собой обязанность работодателя производить оплату работы в субботу в двойном размере (Апелляционное </w:t>
            </w:r>
            <w:hyperlink r:id="rId47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определение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Алтайского краевого суда от 24.11.2015 по делу N 33-11330/2015).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В соответствии с </w:t>
            </w:r>
            <w:hyperlink r:id="rId48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 1 ст. 100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ТК РФ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– трудовым договором.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Согласно </w:t>
            </w:r>
            <w:hyperlink r:id="rId49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абз. 6 ч. 2 ст. 57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ТК РФ режим рабочего времени и времени отдыха (если для данного работника он отличается от общих правил, действующих у данного работодателя) является обязательным для включения в трудовой договор условием.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В соответствии с </w:t>
            </w:r>
            <w:hyperlink r:id="rId50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4 ст. 189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ТК РФ правила внутреннего трудового распорядка –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91" style="width:467.75pt;height:.75pt" o:hralign="center" o:hrstd="t" o:hr="t" fillcolor="gray" stroked="f"/>
              </w:pic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0036FB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Какие есть способы подачи в МВД уведомления о заключении трудового договора с иностранным гражданином? Можно отправить его в электронном виде через Портал госуслуг или нет? </w:t>
              </w:r>
            </w:hyperlink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036FB" w:rsidRPr="000036F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036FB" w:rsidRPr="000036FB" w:rsidRDefault="000036FB" w:rsidP="000036F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36F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уведомление о прибытии иностранного гражданина принимающая сторона может представить в МВД России лично, в электронной форме через Портал госуслуг или через МФЦ либо направить почтовым отправлением. </w:t>
                  </w:r>
                </w:p>
              </w:tc>
            </w:tr>
          </w:tbl>
          <w:p w:rsidR="000036FB" w:rsidRPr="000036FB" w:rsidRDefault="000036FB" w:rsidP="000036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0036FB" w:rsidRPr="000036FB" w:rsidRDefault="000036FB" w:rsidP="000036F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695DB6A8" wp14:editId="4B354BF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В </w:t>
            </w:r>
            <w:hyperlink r:id="rId52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консультации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в СПС КонсультантПлюс разъяснены обязанности гражданина, являющегося принимающей стороной для работника-иностранца.Гражданин, являющийся принимающей стороной, обязан передать в МВД России уведомление о прибытии иностранного гражданина и передать иностранному гражданину отрывную часть бланка уведомления. Принимающая сторона также сообщает в МВД России об изменении сведений об иностранном гражданине и в установленных случаях направляет уведомление об убытии иностранного гражданина из места пребывания.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Гражданин, являющийся принимающей стороной, должен заполнить и представить в </w:t>
            </w:r>
            <w:r w:rsidRPr="000036FB">
              <w:rPr>
                <w:rFonts w:eastAsia="Calibri" w:cs="Arial"/>
                <w:color w:val="444444"/>
                <w:lang w:eastAsia="ru-RU"/>
              </w:rPr>
              <w:lastRenderedPageBreak/>
              <w:t xml:space="preserve">территориальный орган МВД России (далее – ТО МВД России) </w:t>
            </w:r>
            <w:hyperlink r:id="rId53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уведомление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о прибытии иностранного гражданина в место пребывания.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>Уведомлять МВД о приеме на работу гражданина Белоруссии не нужно (п. 1 Решения N 4, Постановление ВС РФ N 83-АД18-6).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0036FB">
              <w:rPr>
                <w:rFonts w:eastAsia="Calibri" w:cs="Arial"/>
                <w:color w:val="444444"/>
                <w:lang w:eastAsia="ru-RU"/>
              </w:rPr>
              <w:t xml:space="preserve">При приеме на работу граждан Казахстана и Киргизии не позднее трех рабочих дней необходимо отправить в МВД уведомление о заключении трудового договора (ст. 13 Федерального закона N 115-ФЗ). Форма уведомления утверждена </w:t>
            </w:r>
            <w:hyperlink r:id="rId54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МВД России от 30.07.2020 N 536. </w:t>
            </w:r>
          </w:p>
          <w:p w:rsidR="000036FB" w:rsidRPr="000036FB" w:rsidRDefault="000036FB" w:rsidP="000036FB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55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Уведомление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об прибытии или убытии иностранного гражданина принимающая сторона может представить в ТО МВД России лично или в электронной форме посредством Портала госуслуг, либо через МФЦ, либо направить почтовым отправлением (</w:t>
            </w:r>
            <w:hyperlink r:id="rId56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 1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, </w:t>
            </w:r>
            <w:hyperlink r:id="rId57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 5 ч. 2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, </w:t>
            </w:r>
            <w:hyperlink r:id="rId58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 2.2 ст. 23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Закона N 109-ФЗ; </w:t>
            </w:r>
            <w:hyperlink r:id="rId59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 «д» п. 37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, </w:t>
            </w:r>
            <w:hyperlink r:id="rId60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 37(1)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Правил; </w:t>
            </w:r>
            <w:hyperlink r:id="rId61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 1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, </w:t>
            </w:r>
            <w:hyperlink r:id="rId62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4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Приложения N 4 к Приказу МВД России от 14.09.2020 N 641; </w:t>
            </w:r>
            <w:hyperlink r:id="rId63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 50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, </w:t>
            </w:r>
            <w:hyperlink r:id="rId64" w:history="1">
              <w:r w:rsidRPr="000036FB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 91.4 п. 91</w:t>
              </w:r>
            </w:hyperlink>
            <w:r w:rsidRPr="000036FB">
              <w:rPr>
                <w:rFonts w:eastAsia="Calibri" w:cs="Arial"/>
                <w:color w:val="444444"/>
                <w:lang w:eastAsia="ru-RU"/>
              </w:rPr>
              <w:t xml:space="preserve"> Административного регламента). </w:t>
            </w:r>
          </w:p>
        </w:tc>
      </w:tr>
      <w:tr w:rsidR="000036FB" w:rsidRPr="000036FB" w:rsidTr="000036FB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0036FB" w:rsidRPr="000036FB" w:rsidRDefault="000036FB" w:rsidP="000036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92" style="width:467.75pt;height:.75pt" o:hralign="center" o:hrstd="t" o:hr="t" fillcolor="gray" stroked="f"/>
              </w:pict>
            </w:r>
          </w:p>
        </w:tc>
      </w:tr>
    </w:tbl>
    <w:p w:rsidR="00D849B6" w:rsidRPr="000036FB" w:rsidRDefault="00D849B6" w:rsidP="000036FB"/>
    <w:sectPr w:rsidR="00D849B6" w:rsidRPr="000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5661"/>
    <w:multiLevelType w:val="hybridMultilevel"/>
    <w:tmpl w:val="5D48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B"/>
    <w:rsid w:val="000036FB"/>
    <w:rsid w:val="00D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6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6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99C399414D1D29D4CEBA1910DA8D4C25AE83C3E4FD290775353EEC3B481E39F37E1631882C2894629412CB5B40D96DEA9F7C2E63EE1DG" TargetMode="External"/><Relationship Id="rId18" Type="http://schemas.openxmlformats.org/officeDocument/2006/relationships/hyperlink" Target="http://work.elcode.ru/subscribe/link/?hash=8e957db992ed953657b300eb018fd009&amp;id_send=16757&amp;id_email=9105310&amp;url=https%3A%2F%2Flogin.consultant.ru%2Flink%2F%3Freq%3Ddoc%26amp%3Bbase%3DPRJ%26amp%3Bn%3D202420&amp;uid_news=1037656&amp;cli=" TargetMode="External"/><Relationship Id="rId26" Type="http://schemas.openxmlformats.org/officeDocument/2006/relationships/hyperlink" Target="consultantplus://offline/ref=602D93CD0A069638EAE808D60C32CEB99DC7A29692E726DE2F71A87057B399AD2F655E23F126FB333F16FCF0F9ADg0R" TargetMode="External"/><Relationship Id="rId39" Type="http://schemas.openxmlformats.org/officeDocument/2006/relationships/hyperlink" Target="consultantplus://offline/ref=93B0834A418F6E3D57AA735898806F075B3966D91C2809B072A116B5608B14BD8F74C8ECE8D9A164326379342D6F1B3840355BEB503B9ACBMC2DS" TargetMode="External"/><Relationship Id="rId21" Type="http://schemas.openxmlformats.org/officeDocument/2006/relationships/image" Target="media/image4.jpeg"/><Relationship Id="rId34" Type="http://schemas.openxmlformats.org/officeDocument/2006/relationships/hyperlink" Target="consultantplus://offline/ref=main?base=LAW;n=370278;dst=184" TargetMode="External"/><Relationship Id="rId42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PBI%26n%3D240770%26dst%3D100001&amp;uid_news=1037513&amp;cli=" TargetMode="External"/><Relationship Id="rId47" Type="http://schemas.openxmlformats.org/officeDocument/2006/relationships/hyperlink" Target="consultantplus://offline/ref=1168AD27D5CE5C80AD4DE5306AD820D982817DF2D9F50578BEC995982EE66CEEC652D6BB30CCEE63E9AFF6DAC443h3lBU" TargetMode="External"/><Relationship Id="rId50" Type="http://schemas.openxmlformats.org/officeDocument/2006/relationships/hyperlink" Target="consultantplus://offline/ref=BC5D2412D1BA8C55F4FC1275795B176C8496F8A819D248A35A82458DA6AB213EBA079D80267555A3FBA3437145F0FC0E22435C5D89YA68T" TargetMode="External"/><Relationship Id="rId55" Type="http://schemas.openxmlformats.org/officeDocument/2006/relationships/hyperlink" Target="consultantplus://offline/ref=ADCFA6A75F5D39A6C48C22325BD4414DA816D1AB60CC01445510E561312EC4678273D3A89906B9DFD94D4796A3725E7607A0E3B207D2E259DB8FCB6De3F7U" TargetMode="External"/><Relationship Id="rId63" Type="http://schemas.openxmlformats.org/officeDocument/2006/relationships/hyperlink" Target="consultantplus://offline/ref=1197E02E41E1FDF37E5A1C9901CC43360AA9EE7E982EF323CB40D1A1CF7B711A4492AF93216F9D394643A541C09D5B51CA604E0658581F23vBGAU" TargetMode="External"/><Relationship Id="rId7" Type="http://schemas.openxmlformats.org/officeDocument/2006/relationships/image" Target="cid:0f7250c856dd21322dd7c93933e13c08@swift.genera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PRJ%26n%3D205249%26dst%3D100002&amp;uid_news=1037656&amp;cli=" TargetMode="External"/><Relationship Id="rId20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QUEST%26n%3D202297%26dst%3D100005&amp;uid_news=1037569&amp;cli=" TargetMode="External"/><Relationship Id="rId29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QSBO%26n%3D21991%26dst%3D1000000004&amp;uid_news=1037551&amp;cli=" TargetMode="External"/><Relationship Id="rId41" Type="http://schemas.openxmlformats.org/officeDocument/2006/relationships/hyperlink" Target="consultantplus://offline/ref=93B0834A418F6E3D57AA735898806F075B3A69D41C2E09B072A116B5608B14BD9D7490E0E9DDBE6630762F656BM32BS" TargetMode="External"/><Relationship Id="rId54" Type="http://schemas.openxmlformats.org/officeDocument/2006/relationships/hyperlink" Target="http://work.elcode.ru/subscribe/link/?hash=8e957db992ed953657b300eb018fd009&amp;id_send=16757&amp;id_email=9105310&amp;url=https%3A%2F%2Flogin.consultant.ru%2Flink%2F%3Freq%3Ddoc%26amp%3Bbase%3DLAW%26amp%3Bn%3D365473%26amp%3Bdst%3D100218&amp;uid_news=1037502&amp;cli=" TargetMode="External"/><Relationship Id="rId62" Type="http://schemas.openxmlformats.org/officeDocument/2006/relationships/hyperlink" Target="consultantplus://offline/ref=1197E02E41E1FDF37E5A1C9901CC43360AA8EB709828F323CB40D1A1CF7B711A4492AF93216F9E354443A541C09D5B51CA604E0658581F23vBG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6A99C399414D1D29D4CEBA1910DA8D4C25AD8CC7E6FB290775353EEC3B481E39F37E16328D2D23C331DB13971E13CA6CEF9F7E2D7FEE0251EF1CG" TargetMode="External"/><Relationship Id="rId24" Type="http://schemas.openxmlformats.org/officeDocument/2006/relationships/image" Target="media/image5.jpeg"/><Relationship Id="rId32" Type="http://schemas.openxmlformats.org/officeDocument/2006/relationships/hyperlink" Target="consultantplus://offline/ref=main?base=QSBO;n=21991;dst=100012" TargetMode="External"/><Relationship Id="rId37" Type="http://schemas.openxmlformats.org/officeDocument/2006/relationships/hyperlink" Target="consultantplus://offline/ref=FF7AE4BF086F4F914E41FF715501B78CAF2FD2A04669E42179CDFD25BBB1C5083493A901C5C79219A2C3E7B7A3455289BDDD059FC773E37Dw8u2S" TargetMode="External"/><Relationship Id="rId40" Type="http://schemas.openxmlformats.org/officeDocument/2006/relationships/hyperlink" Target="consultantplus://offline/ref=93B0834A418F6E3D57AA735898806F075B3869DB112909B072A116B5608B14BD9D7490E0E9DDBE6630762F656BM32BS" TargetMode="External"/><Relationship Id="rId45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PKBO%26n%3D38873%26dst%3D100003&amp;uid_news=1037507&amp;cli=" TargetMode="External"/><Relationship Id="rId53" Type="http://schemas.openxmlformats.org/officeDocument/2006/relationships/hyperlink" Target="consultantplus://offline/ref=755D034639F9A40C1C95172C3926296830CB95CE7D2C4360A8E22EBA7A36FB213C7813B82744672D8DAAD43C9DD58804385DAE087DC9D83Cf0a0U" TargetMode="External"/><Relationship Id="rId58" Type="http://schemas.openxmlformats.org/officeDocument/2006/relationships/hyperlink" Target="consultantplus://offline/ref=1197E02E41E1FDF37E5A1C9901CC43360AABEC73972BF323CB40D1A1CF7B711A4492AF942964CB60011DFC1181D65653D17C4E07v4G7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ork.elcode.ru/subscribe/link/?hash=8e957db992ed953657b300eb018fd009&amp;id_send=16757&amp;id_email=9105310&amp;url=https%3A%2F%2Flogin.consultant.ru%2Flink%2F%3Freq%3Ddoc%26amp%3Bbase%3DLAW%26amp%3Bn%3D369426%26amp%3Bdst%3D1000000003&amp;uid_news=1037663&amp;cli=" TargetMode="External"/><Relationship Id="rId23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LAW%26n%3D378671%26dst%3D100003&amp;uid_news=1037561&amp;cli=" TargetMode="External"/><Relationship Id="rId28" Type="http://schemas.openxmlformats.org/officeDocument/2006/relationships/hyperlink" Target="consultantplus://offline/ref=602D93CD0A069638EAE808D60C32CEB99DC7A29692E726DE2F71A87057B399AD3D65062FF023E5313A03AAA1BF84E1F55F234648BD30520AA8g1R" TargetMode="External"/><Relationship Id="rId36" Type="http://schemas.openxmlformats.org/officeDocument/2006/relationships/image" Target="media/image7.jpeg"/><Relationship Id="rId49" Type="http://schemas.openxmlformats.org/officeDocument/2006/relationships/hyperlink" Target="consultantplus://offline/ref=BC5D2412D1BA8C55F4FC1275795B176C8496F8A819D248A35A82458DA6AB213EBA079D842A7255A3FBA3437145F0FC0E22435C5D89YA68T" TargetMode="External"/><Relationship Id="rId57" Type="http://schemas.openxmlformats.org/officeDocument/2006/relationships/hyperlink" Target="consultantplus://offline/ref=1197E02E41E1FDF37E5A1C9901CC43360AABEC73972BF323CB40D1A1CF7B711A4492AF942664CB60011DFC1181D65653D17C4E07v4G7U" TargetMode="External"/><Relationship Id="rId61" Type="http://schemas.openxmlformats.org/officeDocument/2006/relationships/hyperlink" Target="consultantplus://offline/ref=1197E02E41E1FDF37E5A1C9901CC43360AA8EB709828F323CB40D1A1CF7B711A4492AF93216F9E324743A541C09D5B51CA604E0658581F23vBGAU" TargetMode="External"/><Relationship Id="rId10" Type="http://schemas.openxmlformats.org/officeDocument/2006/relationships/hyperlink" Target="http://work.elcode.ru/subscribe/link/?hash=8e957db992ed953657b300eb018fd009&amp;id_send=16757&amp;id_email=9105310&amp;url=https%3A%2F%2Fregulation.gov.ru%2Fprojects%23npa%3D113958&amp;uid_news=1037663&amp;cli=" TargetMode="External"/><Relationship Id="rId19" Type="http://schemas.openxmlformats.org/officeDocument/2006/relationships/hyperlink" Target="http://work.elcode.ru/subscribe/link/?hash=8e957db992ed953657b300eb018fd009&amp;id_send=16757&amp;id_email=9105310&amp;url=https%3A%2F%2Flogin.consultant.ru%2Flink%2F%3Freq%3Ddoc%26amp%3Bbase%3DLAW%26amp%3Bn%3D358829&amp;uid_news=1037656&amp;cli=" TargetMode="External"/><Relationship Id="rId31" Type="http://schemas.openxmlformats.org/officeDocument/2006/relationships/hyperlink" Target="consultantplus://offline/ref=2F009D6B5911DF7D21F422682287F041049F761387B06A8B4FB8AF3B51386D1EAA6577C559CE2A1C3A4C74C026066573A0CB9632CF236CC5a5QAU" TargetMode="External"/><Relationship Id="rId44" Type="http://schemas.openxmlformats.org/officeDocument/2006/relationships/hyperlink" Target="consultantplus://offline/ref=32F07A981F6433EA7CCEB966A506E85E859978DAFD711A908499EA7D071E4EEF644D91FFC6C410D9ED63C863D56C108319C095550C93711Cc3J0U" TargetMode="External"/><Relationship Id="rId52" Type="http://schemas.openxmlformats.org/officeDocument/2006/relationships/hyperlink" Target="consultantplus://offline/ref=7699C693E13BFA54F6225C4F7280E95766D2F78152BB850754CFD93BBC1BE6DB2EBEE5407240C0E531B77182B505E60E1B8E828535C89A77N0HFU" TargetMode="External"/><Relationship Id="rId60" Type="http://schemas.openxmlformats.org/officeDocument/2006/relationships/hyperlink" Target="consultantplus://offline/ref=1197E02E41E1FDF37E5A1C9901CC43360AA9E8739F2AF323CB40D1A1CF7B711A4492AF952964CB60011DFC1181D65653D17C4E07v4G7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6A99C399414D1D29D4CEBA1910DA8D4C25AD8CC7E6FB290775353EEC3B481E39F37E16328D2D23C73ADB13971E13CA6CEF9F7E2D7FEE0251EF1CG" TargetMode="External"/><Relationship Id="rId22" Type="http://schemas.openxmlformats.org/officeDocument/2006/relationships/hyperlink" Target="http://work.elcode.ru/subscribe/link/?hash=8e957db992ed953657b300eb018fd009&amp;id_send=16757&amp;id_email=9105310&amp;url=https%3A%2F%2Flogin.consultant.ru%2Flink%2F%3Freq%3Ddoc%26amp%3Bbase%3DQUEST%26amp%3Bn%3D202297%26amp%3Bdst%3D100004&amp;uid_news=1037569&amp;cli=" TargetMode="External"/><Relationship Id="rId27" Type="http://schemas.openxmlformats.org/officeDocument/2006/relationships/hyperlink" Target="consultantplus://offline/ref=602D93CD0A069638EAE814D90B489BEA92C9A3979AE026DE2F71A87057B399AD2F655E23F126FB333F16FCF0F9ADg0R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LAW%26n%3D378693%26dst%3D100003&amp;uid_news=1037541&amp;cli=" TargetMode="External"/><Relationship Id="rId43" Type="http://schemas.openxmlformats.org/officeDocument/2006/relationships/image" Target="media/image8.jpeg"/><Relationship Id="rId48" Type="http://schemas.openxmlformats.org/officeDocument/2006/relationships/hyperlink" Target="consultantplus://offline/ref=BC5D2412D1BA8C55F4FC1275795B176C8496F8A819D248A35A82458DA6AB213EBA079D82277355A3FBA3437145F0FC0E22435C5D89YA68T" TargetMode="External"/><Relationship Id="rId56" Type="http://schemas.openxmlformats.org/officeDocument/2006/relationships/hyperlink" Target="consultantplus://offline/ref=1197E02E41E1FDF37E5A1C9901CC43360AABEC73972BF323CB40D1A1CF7B711A4492AF912364CB60011DFC1181D65653D17C4E07v4G7U" TargetMode="External"/><Relationship Id="rId64" Type="http://schemas.openxmlformats.org/officeDocument/2006/relationships/hyperlink" Target="consultantplus://offline/ref=1197E02E41E1FDF37E5A1C9901CC43360AA9EE7E982EF323CB40D1A1CF7B711A4492AF93216F9B334043A541C09D5B51CA604E0658581F23vBGAU" TargetMode="External"/><Relationship Id="rId8" Type="http://schemas.openxmlformats.org/officeDocument/2006/relationships/hyperlink" Target="http://work.elcode.ru/subscribe/link/?hash=8e957db992ed953657b300eb018fd009&amp;id_send=16757&amp;id_email=9105310&amp;url=https%3A%2F%2Fregulation.gov.ru%2Fprojects%23npa%3D113958+&amp;uid_news=1037663&amp;cli=" TargetMode="External"/><Relationship Id="rId51" Type="http://schemas.openxmlformats.org/officeDocument/2006/relationships/hyperlink" Target="http://work.elcode.ru/subscribe/link/?hash=8e957db992ed953657b300eb018fd009&amp;id_send=16757&amp;id_email=9105310&amp;url=https%3A%2F%2Flogin.consultant.ru%2Flink%2F%3Freq%3Ddoc%26base%3DCJI%26n%3D120493%26dst%3D100001&amp;uid_news=1037502&amp;cli=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A99C399414D1D29D4CEBA1910DA8D4C25AD8CC7E6FB290775353EEC3B481E39F37E16328D2D23C43BDB13971E13CA6CEF9F7E2D7FEE0251EF1CG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ork.elcode.ru/subscribe/link/?hash=8e957db992ed953657b300eb018fd009&amp;id_send=16757&amp;id_email=9105310&amp;url=https%3A%2F%2Flogin.consultant.ru%2Flink%2F%3Freq%3Ddoc%26amp%3Bbase%3DLAW%26amp%3Bn%3D378671%26amp%3Bdst%3D100003&amp;uid_news=1037561&amp;cli=" TargetMode="External"/><Relationship Id="rId33" Type="http://schemas.openxmlformats.org/officeDocument/2006/relationships/hyperlink" Target="consultantplus://offline/ref=main?base=QSBO;n=21991;dst=100011" TargetMode="External"/><Relationship Id="rId38" Type="http://schemas.openxmlformats.org/officeDocument/2006/relationships/hyperlink" Target="consultantplus://offline/ref=FF7AE4BF086F4F914E41FF715501B78CAF2FD2A04669E42179CDFD25BBB1C5083493A901C5C79219A2C3E7B7A3455289BDDD059FC773E37Dw8u2S" TargetMode="External"/><Relationship Id="rId46" Type="http://schemas.openxmlformats.org/officeDocument/2006/relationships/hyperlink" Target="http://work.elcode.ru/subscribe/link/?hash=8e957db992ed953657b300eb018fd009&amp;id_send=16757&amp;id_email=9105310&amp;url=https%3A%2F%2Flogin.consultant.ru%2Flink%2F%3Freq%3Ddoc%26amp%3Bbase%3DPKBO%26amp%3Bn%3D38873%26amp%3Bdst%3D100003&amp;uid_news=1037507&amp;cli=" TargetMode="External"/><Relationship Id="rId59" Type="http://schemas.openxmlformats.org/officeDocument/2006/relationships/hyperlink" Target="consultantplus://offline/ref=1197E02E41E1FDF37E5A1C9901CC43360AA9E8739F2AF323CB40D1A1CF7B711A4492AF952664CB60011DFC1181D65653D17C4E07v4G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2021-03-17T12:44:00Z</dcterms:created>
  <dcterms:modified xsi:type="dcterms:W3CDTF">2021-03-17T12:57:00Z</dcterms:modified>
</cp:coreProperties>
</file>