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8"/>
      </w:tblGrid>
      <w:tr w:rsidR="00116426" w:rsidTr="00116426">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116426">
              <w:trPr>
                <w:jc w:val="center"/>
              </w:trPr>
              <w:tc>
                <w:tcPr>
                  <w:tcW w:w="8100" w:type="dxa"/>
                  <w:shd w:val="clear" w:color="auto" w:fill="DDDEE2"/>
                  <w:tcMar>
                    <w:top w:w="450" w:type="dxa"/>
                    <w:left w:w="450" w:type="dxa"/>
                    <w:bottom w:w="450" w:type="dxa"/>
                    <w:right w:w="450" w:type="dxa"/>
                  </w:tcMar>
                  <w:vAlign w:val="center"/>
                  <w:hideMark/>
                </w:tcPr>
                <w:p w:rsidR="00116426" w:rsidRDefault="00116426">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116426">
              <w:trPr>
                <w:jc w:val="center"/>
              </w:trPr>
              <w:tc>
                <w:tcPr>
                  <w:tcW w:w="8100" w:type="dxa"/>
                  <w:shd w:val="clear" w:color="auto" w:fill="DDDEE2"/>
                  <w:tcMar>
                    <w:top w:w="300" w:type="dxa"/>
                    <w:left w:w="450" w:type="dxa"/>
                    <w:bottom w:w="300" w:type="dxa"/>
                    <w:right w:w="450" w:type="dxa"/>
                  </w:tcMar>
                  <w:vAlign w:val="center"/>
                  <w:hideMark/>
                </w:tcPr>
                <w:p w:rsidR="00116426" w:rsidRDefault="00116426">
                  <w:pPr>
                    <w:rPr>
                      <w:rFonts w:eastAsia="Times New Roman"/>
                      <w:sz w:val="20"/>
                      <w:szCs w:val="20"/>
                    </w:rPr>
                  </w:pPr>
                </w:p>
              </w:tc>
            </w:tr>
          </w:tbl>
          <w:p w:rsidR="00116426" w:rsidRDefault="00116426">
            <w:pPr>
              <w:jc w:val="center"/>
              <w:rPr>
                <w:rFonts w:eastAsia="Times New Roman"/>
                <w:sz w:val="20"/>
                <w:szCs w:val="20"/>
              </w:rPr>
            </w:pPr>
          </w:p>
        </w:tc>
      </w:tr>
      <w:tr w:rsidR="00116426" w:rsidTr="00116426">
        <w:trPr>
          <w:jc w:val="center"/>
        </w:trPr>
        <w:tc>
          <w:tcPr>
            <w:tcW w:w="9000" w:type="dxa"/>
            <w:shd w:val="clear" w:color="auto" w:fill="FFFFFF"/>
            <w:vAlign w:val="center"/>
            <w:hideMark/>
          </w:tcPr>
          <w:p w:rsidR="00116426" w:rsidRDefault="00116426">
            <w:pPr>
              <w:jc w:val="center"/>
              <w:rPr>
                <w:rFonts w:eastAsia="Times New Roman"/>
              </w:rPr>
            </w:pPr>
            <w:r>
              <w:rPr>
                <w:rFonts w:eastAsia="Times New Roman"/>
                <w:noProof/>
              </w:rPr>
              <w:drawing>
                <wp:inline distT="0" distB="0" distL="0" distR="0" wp14:anchorId="5ED5E306" wp14:editId="4E7342DB">
                  <wp:extent cx="5720080" cy="1233170"/>
                  <wp:effectExtent l="0" t="0" r="0" b="508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20080" cy="1233170"/>
                          </a:xfrm>
                          <a:prstGeom prst="rect">
                            <a:avLst/>
                          </a:prstGeom>
                          <a:noFill/>
                          <a:ln>
                            <a:noFill/>
                          </a:ln>
                        </pic:spPr>
                      </pic:pic>
                    </a:graphicData>
                  </a:graphic>
                </wp:inline>
              </w:drawing>
            </w:r>
          </w:p>
        </w:tc>
      </w:tr>
      <w:tr w:rsidR="00116426" w:rsidTr="00116426">
        <w:trPr>
          <w:jc w:val="center"/>
        </w:trPr>
        <w:tc>
          <w:tcPr>
            <w:tcW w:w="9000" w:type="dxa"/>
            <w:shd w:val="clear" w:color="auto" w:fill="D0D1D3"/>
            <w:tcMar>
              <w:top w:w="300" w:type="dxa"/>
              <w:left w:w="300" w:type="dxa"/>
              <w:bottom w:w="300" w:type="dxa"/>
              <w:right w:w="300" w:type="dxa"/>
            </w:tcMar>
            <w:vAlign w:val="center"/>
            <w:hideMark/>
          </w:tcPr>
          <w:p w:rsidR="00116426" w:rsidRDefault="00116426">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7" w:tgtFrame="_blank" w:history="1">
              <w:r>
                <w:rPr>
                  <w:rStyle w:val="a3"/>
                  <w:rFonts w:eastAsia="Times New Roman"/>
                  <w:b/>
                  <w:bCs/>
                  <w:color w:val="555555"/>
                  <w:sz w:val="27"/>
                  <w:szCs w:val="27"/>
                  <w:u w:val="none"/>
                </w:rPr>
                <w:t xml:space="preserve">Утверждены единые рекомендации по установлению на 2021 год систем оплаты труда работников учреждений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с 1 января 2021 года при установлении систем оплаты труда работников федеральных, государственных и муниципальных учреждений необходимо учитывать единые рекомендации.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rsidP="00116426">
            <w:pPr>
              <w:spacing w:line="270" w:lineRule="atLeast"/>
              <w:rPr>
                <w:rFonts w:ascii="Arial" w:hAnsi="Arial" w:cs="Arial"/>
                <w:color w:val="444444"/>
                <w:sz w:val="21"/>
                <w:szCs w:val="21"/>
              </w:rPr>
            </w:pPr>
            <w:r>
              <w:rPr>
                <w:noProof/>
              </w:rPr>
              <w:drawing>
                <wp:anchor distT="0" distB="0" distL="142875" distR="142875" simplePos="0" relativeHeight="251659264" behindDoc="0" locked="0" layoutInCell="1" allowOverlap="0" wp14:anchorId="00B27C10" wp14:editId="5A4E2E47">
                  <wp:simplePos x="0" y="0"/>
                  <wp:positionH relativeFrom="column">
                    <wp:align>left</wp:align>
                  </wp:positionH>
                  <wp:positionV relativeFrom="line">
                    <wp:posOffset>0</wp:posOffset>
                  </wp:positionV>
                  <wp:extent cx="1190625" cy="66675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667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w:t>
            </w:r>
            <w:bookmarkStart w:id="0" w:name="_GoBack"/>
            <w:bookmarkEnd w:id="0"/>
            <w:r>
              <w:rPr>
                <w:rFonts w:ascii="Calibri" w:hAnsi="Calibri" w:cs="Arial"/>
                <w:color w:val="444444"/>
                <w:sz w:val="22"/>
                <w:szCs w:val="22"/>
              </w:rPr>
              <w:fldChar w:fldCharType="begin"/>
            </w:r>
            <w:r>
              <w:rPr>
                <w:rFonts w:ascii="Calibri" w:hAnsi="Calibri" w:cs="Arial"/>
                <w:color w:val="444444"/>
                <w:sz w:val="22"/>
                <w:szCs w:val="22"/>
              </w:rPr>
              <w:instrText xml:space="preserve"> HYPERLINK "consultantplus://offline/ref=C2D40678797EFB04C77D1A25A16890CEFB9EDF664400E45FA54A3E8A4E6B8964E6D86F07AE6270F9C2B52D52A97B976303290A63506F39307F30B0D544t2W" </w:instrText>
            </w:r>
            <w:r>
              <w:rPr>
                <w:rFonts w:ascii="Calibri" w:hAnsi="Calibri" w:cs="Arial"/>
                <w:color w:val="444444"/>
                <w:sz w:val="22"/>
                <w:szCs w:val="22"/>
              </w:rPr>
              <w:fldChar w:fldCharType="separate"/>
            </w:r>
            <w:r>
              <w:rPr>
                <w:rStyle w:val="a3"/>
                <w:color w:val="0000FF"/>
              </w:rPr>
              <w:t>Единые рекомендации</w:t>
            </w:r>
            <w:r>
              <w:rPr>
                <w:rFonts w:ascii="Calibri" w:hAnsi="Calibri" w:cs="Arial"/>
                <w:color w:val="444444"/>
                <w:sz w:val="22"/>
                <w:szCs w:val="22"/>
              </w:rPr>
              <w:fldChar w:fldCharType="end"/>
            </w:r>
            <w:r>
              <w:rPr>
                <w:rFonts w:ascii="Calibri" w:hAnsi="Calibri" w:cs="Arial"/>
                <w:color w:val="444444"/>
                <w:sz w:val="22"/>
                <w:szCs w:val="22"/>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(утверждены решением Российской трехсторонней комиссии по регулированию социально-трудовых отношений от 22.12.2020, протокол № 13) учитываются Правительством РФ, органами государственной власти субъектов РФ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Рекомендации также учитываются трехсторонними комиссиями по регулированию социально-трудовых отношений, образованными в субъектах РФ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2021 году. </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25"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9" w:tgtFrame="_blank" w:history="1">
              <w:r>
                <w:rPr>
                  <w:rStyle w:val="a3"/>
                  <w:rFonts w:eastAsia="Times New Roman"/>
                  <w:b/>
                  <w:bCs/>
                  <w:color w:val="555555"/>
                  <w:sz w:val="27"/>
                  <w:szCs w:val="27"/>
                  <w:u w:val="none"/>
                </w:rPr>
                <w:t xml:space="preserve">Утвержден новый регламент лицензирования медицинской деятельности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с 1 января 2021 года предоставление государственной услуги по лицензированию медицинской деятельности осуществляется по новому регламенту.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60288" behindDoc="0" locked="0" layoutInCell="1" allowOverlap="0" wp14:anchorId="31D5B44A" wp14:editId="6E724403">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hyperlink r:id="rId11" w:history="1">
              <w:r>
                <w:rPr>
                  <w:rStyle w:val="a3"/>
                  <w:color w:val="0000FF"/>
                </w:rPr>
                <w:t>Приказом</w:t>
              </w:r>
            </w:hyperlink>
            <w:r>
              <w:rPr>
                <w:rFonts w:ascii="Calibri" w:hAnsi="Calibri" w:cs="Arial"/>
                <w:color w:val="444444"/>
                <w:sz w:val="22"/>
                <w:szCs w:val="22"/>
              </w:rPr>
              <w:t xml:space="preserve"> Росздравнадзора от 28.12.2020 № 9936 утвержден новый </w:t>
            </w:r>
            <w:hyperlink r:id="rId12" w:history="1">
              <w:r>
                <w:rPr>
                  <w:rStyle w:val="a3"/>
                  <w:color w:val="0000FF"/>
                </w:rPr>
                <w:t>административный регламент</w:t>
              </w:r>
            </w:hyperlink>
            <w:r>
              <w:rPr>
                <w:rFonts w:ascii="Calibri" w:hAnsi="Calibri" w:cs="Arial"/>
                <w:color w:val="444444"/>
                <w:sz w:val="22"/>
                <w:szCs w:val="22"/>
              </w:rPr>
              <w:t>, который определяет порядок оказания Росздравнадзором и его территориальными органами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Заявителями в соответствии с регламентом являются:</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юридические лица, имеющие намерение осуществлять или осуществляющие медицинскую деятельность, либо их уполномоченные представители;</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физические лица и организации, обратившиеся за предоставлением сведений о конкретной лицензии на осуществление медицинской деятельности и иной информации по предоставлению государственной услуги.</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Срок принятия решения о предоставлении (об отказе в предоставлении) лицензии – не более 45 рабочих дней со дня поступления в Росздравнадзор (территориальный орган) заявления и документов (сведений).</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Государственная пошлина за предоставление и переоформление лицензии уплачивается в размерах, установленных </w:t>
            </w:r>
            <w:hyperlink r:id="rId13" w:history="1">
              <w:r>
                <w:rPr>
                  <w:rStyle w:val="a3"/>
                  <w:color w:val="0000FF"/>
                </w:rPr>
                <w:t>подп. 92 п. 1 ст. 333.33</w:t>
              </w:r>
            </w:hyperlink>
            <w:r>
              <w:rPr>
                <w:rFonts w:ascii="Calibri" w:hAnsi="Calibri" w:cs="Arial"/>
                <w:color w:val="444444"/>
                <w:sz w:val="22"/>
                <w:szCs w:val="22"/>
              </w:rPr>
              <w:t xml:space="preserve"> НК РФ.</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Приводятся формы необходимых заявлений, которые используются при предоставлении услуги.</w:t>
            </w:r>
          </w:p>
          <w:p w:rsidR="00116426" w:rsidRDefault="00116426">
            <w:pPr>
              <w:pStyle w:val="a4"/>
              <w:spacing w:line="270" w:lineRule="atLeast"/>
              <w:rPr>
                <w:rFonts w:ascii="Arial" w:hAnsi="Arial" w:cs="Arial"/>
                <w:color w:val="444444"/>
                <w:sz w:val="21"/>
                <w:szCs w:val="21"/>
              </w:rPr>
            </w:pPr>
            <w:hyperlink r:id="rId14" w:history="1">
              <w:r>
                <w:rPr>
                  <w:rStyle w:val="a3"/>
                  <w:color w:val="0000FF"/>
                </w:rPr>
                <w:t>Приказ</w:t>
              </w:r>
            </w:hyperlink>
            <w:r>
              <w:rPr>
                <w:rFonts w:ascii="Calibri" w:hAnsi="Calibri" w:cs="Arial"/>
                <w:color w:val="444444"/>
                <w:sz w:val="22"/>
                <w:szCs w:val="22"/>
              </w:rPr>
              <w:t xml:space="preserve"> Минздрава России от 26.01.2015 № 21н, которым был утвержден ранее применявшийся административный регламент, утрачивает силу.</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26"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15" w:tgtFrame="_blank" w:history="1">
              <w:r>
                <w:rPr>
                  <w:rStyle w:val="a3"/>
                  <w:rFonts w:eastAsia="Times New Roman"/>
                  <w:b/>
                  <w:bCs/>
                  <w:color w:val="555555"/>
                  <w:sz w:val="27"/>
                  <w:szCs w:val="27"/>
                  <w:u w:val="none"/>
                </w:rPr>
                <w:t xml:space="preserve">Лицензирование образовательной деятельности с 1 января будет осуществляться в обновленном порядке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с 1 января 2021 года предоставление государственной услуги по лицензированию образовательной деятельности осуществляется в соответствии с новым порядком.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1312" behindDoc="0" locked="0" layoutInCell="1" allowOverlap="0" wp14:anchorId="669A5FBE" wp14:editId="4B57E991">
                  <wp:simplePos x="0" y="0"/>
                  <wp:positionH relativeFrom="column">
                    <wp:align>left</wp:align>
                  </wp:positionH>
                  <wp:positionV relativeFrom="line">
                    <wp:posOffset>0</wp:posOffset>
                  </wp:positionV>
                  <wp:extent cx="1190625" cy="79057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hyperlink r:id="rId17" w:history="1">
              <w:r>
                <w:rPr>
                  <w:rStyle w:val="a3"/>
                  <w:color w:val="0000FF"/>
                </w:rPr>
                <w:t>Постановлением</w:t>
              </w:r>
            </w:hyperlink>
            <w:r>
              <w:rPr>
                <w:rFonts w:ascii="Calibri" w:hAnsi="Calibri" w:cs="Arial"/>
                <w:color w:val="444444"/>
                <w:sz w:val="22"/>
                <w:szCs w:val="22"/>
              </w:rPr>
              <w:t xml:space="preserve"> Правительства РФ от 19.12.2020 № 2175 реализованы нормы </w:t>
            </w:r>
            <w:hyperlink r:id="rId18" w:history="1">
              <w:r>
                <w:rPr>
                  <w:rStyle w:val="a3"/>
                  <w:color w:val="0000FF"/>
                </w:rPr>
                <w:t>Федерального закона</w:t>
              </w:r>
            </w:hyperlink>
            <w:r>
              <w:rPr>
                <w:rFonts w:ascii="Calibri" w:hAnsi="Calibri" w:cs="Arial"/>
                <w:color w:val="444444"/>
                <w:sz w:val="22"/>
                <w:szCs w:val="22"/>
              </w:rPr>
              <w:t xml:space="preserve">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О реестровой модели подробнее можно узнать в </w:t>
            </w:r>
            <w:hyperlink r:id="rId19" w:tooltip="Ссылка на КонсультантПлюс" w:history="1">
              <w:r>
                <w:rPr>
                  <w:rStyle w:val="a3"/>
                  <w:color w:val="0000FF"/>
                </w:rPr>
                <w:t>Справочной информации: «Правовой календарь на I квартал 2021 года» (Материал подготовлен специалистами КонсультантПлюс).</w:t>
              </w:r>
            </w:hyperlink>
            <w:r>
              <w:rPr>
                <w:rFonts w:ascii="Arial" w:hAnsi="Arial" w:cs="Arial"/>
                <w:color w:val="444444"/>
                <w:sz w:val="21"/>
                <w:szCs w:val="21"/>
              </w:rPr>
              <w:br/>
            </w:r>
            <w:r>
              <w:rPr>
                <w:rFonts w:ascii="Calibri" w:hAnsi="Calibri" w:cs="Arial"/>
                <w:color w:val="444444"/>
                <w:sz w:val="22"/>
                <w:szCs w:val="22"/>
              </w:rPr>
              <w:t xml:space="preserve">Признано утратившим силу Положение о Федеральной службе по надзору в сфере образования и науки, утвержденное </w:t>
            </w:r>
            <w:hyperlink r:id="rId20" w:history="1">
              <w:r>
                <w:rPr>
                  <w:rStyle w:val="a3"/>
                  <w:color w:val="0000FF"/>
                </w:rPr>
                <w:t>Постановлением</w:t>
              </w:r>
            </w:hyperlink>
            <w:r>
              <w:rPr>
                <w:rFonts w:ascii="Calibri" w:hAnsi="Calibri" w:cs="Arial"/>
                <w:color w:val="444444"/>
                <w:sz w:val="22"/>
                <w:szCs w:val="22"/>
              </w:rPr>
              <w:t xml:space="preserve"> Правительства РФ от 28.07.2018 № 885, согласно которому к полномочиям Рособрнадзора относится утверждение формы лицензии на осуществление образовательной деятельности, формы приложения к лицензии и технические требования к указанным документам.</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27"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21" w:tgtFrame="_blank" w:history="1">
              <w:r>
                <w:rPr>
                  <w:rStyle w:val="a3"/>
                  <w:rFonts w:eastAsia="Times New Roman"/>
                  <w:b/>
                  <w:bCs/>
                  <w:color w:val="555555"/>
                  <w:sz w:val="27"/>
                  <w:szCs w:val="27"/>
                  <w:u w:val="none"/>
                </w:rPr>
                <w:t xml:space="preserve">Представлен рекомендуемый перечень документов, разрабатываемых школами совместно с учителями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Возможности: перечень документов позволит снизить документационную нагрузку учителей.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2336" behindDoc="0" locked="0" layoutInCell="1" allowOverlap="0" wp14:anchorId="7CDC663E" wp14:editId="2E4B6697">
                  <wp:simplePos x="0" y="0"/>
                  <wp:positionH relativeFrom="column">
                    <wp:align>left</wp:align>
                  </wp:positionH>
                  <wp:positionV relativeFrom="line">
                    <wp:posOffset>0</wp:posOffset>
                  </wp:positionV>
                  <wp:extent cx="1190625" cy="80010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hyperlink r:id="rId23" w:history="1">
              <w:r>
                <w:rPr>
                  <w:rStyle w:val="a3"/>
                  <w:color w:val="0000FF"/>
                </w:rPr>
                <w:t>Письмом</w:t>
              </w:r>
            </w:hyperlink>
            <w:r>
              <w:rPr>
                <w:rFonts w:ascii="Calibri" w:hAnsi="Calibri" w:cs="Arial"/>
                <w:color w:val="444444"/>
                <w:sz w:val="22"/>
                <w:szCs w:val="22"/>
              </w:rPr>
              <w:t xml:space="preserve"> Минпросвещения России № СК-578/08 и Рособрнадзора № 01-350/13-01 от 18.12.2020 «О снижении документационной нагрузки учителей» представлен рекомендуемый перечень документов, разрабатываемый школами совместно с учителями.</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В него включены основная образовательная программа для каждого из уровней общего образования, журнал учета успеваемости, журнал группы продленного дня, материалы личного дела обучающихся. Указаны в том числе разработчики соответствующего документа и рекомендуемая периодичность обновления.</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Виды работ, связанные с ведением иной документации, не входят в должностные обязанности учителя (в том числе выполняющего функции классного руководителя) и осуществляются с письменного согласия работника с указанием в трудовом договоре содержания работ, срока их выполнения и размера оплаты.</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28" style="width:467.75pt;height:.75pt" o:hralign="center" o:hrstd="t" o:hr="t" fillcolor="gray" stroked="f"/>
              </w:pict>
            </w:r>
          </w:p>
        </w:tc>
      </w:tr>
      <w:tr w:rsidR="00116426" w:rsidTr="00116426">
        <w:trPr>
          <w:jc w:val="center"/>
        </w:trPr>
        <w:tc>
          <w:tcPr>
            <w:tcW w:w="9000" w:type="dxa"/>
            <w:shd w:val="clear" w:color="auto" w:fill="D0D1D3"/>
            <w:tcMar>
              <w:top w:w="300" w:type="dxa"/>
              <w:left w:w="300" w:type="dxa"/>
              <w:bottom w:w="300" w:type="dxa"/>
              <w:right w:w="300" w:type="dxa"/>
            </w:tcMar>
            <w:vAlign w:val="center"/>
            <w:hideMark/>
          </w:tcPr>
          <w:p w:rsidR="00116426" w:rsidRDefault="00116426">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24" w:tgtFrame="_blank" w:history="1">
              <w:r>
                <w:rPr>
                  <w:rStyle w:val="a3"/>
                  <w:rFonts w:eastAsia="Times New Roman"/>
                  <w:b/>
                  <w:bCs/>
                  <w:color w:val="555555"/>
                  <w:sz w:val="27"/>
                  <w:szCs w:val="27"/>
                  <w:u w:val="none"/>
                </w:rPr>
                <w:t xml:space="preserve">Поправки в Инструкцию № 191н переданы на регистрацию в Минюст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в случае принятия поправок большинство новшеств надо будет применять уже начиная с предстоящей отчетности за 2020 год.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3360" behindDoc="0" locked="0" layoutInCell="1" allowOverlap="0" wp14:anchorId="319A7EAD" wp14:editId="0EFA802D">
                  <wp:simplePos x="0" y="0"/>
                  <wp:positionH relativeFrom="column">
                    <wp:align>left</wp:align>
                  </wp:positionH>
                  <wp:positionV relativeFrom="line">
                    <wp:posOffset>0</wp:posOffset>
                  </wp:positionV>
                  <wp:extent cx="1190625" cy="8001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Минфин России </w:t>
            </w:r>
            <w:hyperlink r:id="rId26" w:history="1">
              <w:r>
                <w:rPr>
                  <w:rStyle w:val="a3"/>
                  <w:color w:val="0000FF"/>
                </w:rPr>
                <w:t>Приказом</w:t>
              </w:r>
            </w:hyperlink>
            <w:r>
              <w:rPr>
                <w:rFonts w:ascii="Calibri" w:hAnsi="Calibri" w:cs="Arial"/>
                <w:color w:val="444444"/>
                <w:sz w:val="22"/>
                <w:szCs w:val="22"/>
              </w:rPr>
              <w:t xml:space="preserve"> от 16.12.2020 № 311н внес изменения в </w:t>
            </w:r>
            <w:hyperlink r:id="rId27" w:history="1">
              <w:r>
                <w:rPr>
                  <w:rStyle w:val="a3"/>
                  <w:color w:val="0000FF"/>
                </w:rPr>
                <w:t>Инструкцию № 191н</w:t>
              </w:r>
            </w:hyperlink>
            <w:r>
              <w:rPr>
                <w:rFonts w:ascii="Calibri" w:hAnsi="Calibri" w:cs="Arial"/>
                <w:color w:val="444444"/>
                <w:sz w:val="22"/>
                <w:szCs w:val="22"/>
              </w:rPr>
              <w:t>. В частности, изменится порядок заполнения баланса, отчета о финрезультатах, справок по консолидируемым расчетам, пояснительной записки. Скорректируют и отдельные формы отчетности. Большинство новшеств надо будет применять уже начиная с предстоящей отчетности за 2020 год.</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Внесенные изменения направлены на реализацию положений </w:t>
            </w:r>
            <w:hyperlink r:id="rId28" w:history="1">
              <w:r>
                <w:rPr>
                  <w:rStyle w:val="a3"/>
                  <w:color w:val="0000FF"/>
                </w:rPr>
                <w:t>Федерального закона</w:t>
              </w:r>
            </w:hyperlink>
            <w:r>
              <w:rPr>
                <w:rFonts w:ascii="Calibri" w:hAnsi="Calibri" w:cs="Arial"/>
                <w:color w:val="444444"/>
                <w:sz w:val="22"/>
                <w:szCs w:val="22"/>
              </w:rPr>
              <w:t xml:space="preserve"> от 27.12.2019 № 479-ФЗ в части введения казначейского обслуживания и системы казначейских платежей.</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Подробнее узнать о поправках можно в </w:t>
            </w:r>
            <w:hyperlink r:id="rId29" w:history="1">
              <w:r>
                <w:rPr>
                  <w:rStyle w:val="a3"/>
                  <w:color w:val="0000FF"/>
                </w:rPr>
                <w:t>Обзоре</w:t>
              </w:r>
            </w:hyperlink>
            <w:r>
              <w:rPr>
                <w:rFonts w:ascii="Calibri" w:hAnsi="Calibri" w:cs="Arial"/>
                <w:color w:val="444444"/>
                <w:sz w:val="22"/>
                <w:szCs w:val="22"/>
              </w:rPr>
              <w:t xml:space="preserve"> «Поправки к Инструкции N 191н переданы на регистрацию» в СПС КонсультантПлюс.   </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29"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30" w:tgtFrame="_blank" w:history="1">
              <w:r>
                <w:rPr>
                  <w:rStyle w:val="a3"/>
                  <w:rFonts w:eastAsia="Times New Roman"/>
                  <w:b/>
                  <w:bCs/>
                  <w:color w:val="555555"/>
                  <w:sz w:val="27"/>
                  <w:szCs w:val="27"/>
                  <w:u w:val="none"/>
                </w:rPr>
                <w:t xml:space="preserve">Минфин напоминает: получателям бюджетных средств нужно скорректировать реквизиты казначейских счетов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получателям бюджетных средств нужно внести изменения в бюджетные обязательства по договорам (контрактам, соглашениям), которые были заключены до 1 января 2021 года и поставлены на учет в ТОФК. Нужно скорректировать информацию о реквизитах счетов, действующих в 2020 году, а также о тех, которые будут действовать в 2021 году.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4384" behindDoc="0" locked="0" layoutInCell="1" allowOverlap="0" wp14:anchorId="33DDA064" wp14:editId="585EE71B">
                  <wp:simplePos x="0" y="0"/>
                  <wp:positionH relativeFrom="column">
                    <wp:align>left</wp:align>
                  </wp:positionH>
                  <wp:positionV relativeFrom="line">
                    <wp:posOffset>0</wp:posOffset>
                  </wp:positionV>
                  <wp:extent cx="1190625" cy="80010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32" w:history="1">
              <w:r>
                <w:rPr>
                  <w:rStyle w:val="a3"/>
                  <w:color w:val="0000FF"/>
                </w:rPr>
                <w:t>Письме</w:t>
              </w:r>
            </w:hyperlink>
            <w:r>
              <w:rPr>
                <w:rFonts w:ascii="Calibri" w:hAnsi="Calibri" w:cs="Arial"/>
                <w:color w:val="444444"/>
                <w:sz w:val="22"/>
                <w:szCs w:val="22"/>
              </w:rPr>
              <w:t xml:space="preserve"> от 22.12.2020 № 09-01-09/112993 напомнил, что вводится система казначейских платежей в связи с вступающими в силу с 01.01.2021 положениями Федерального </w:t>
            </w:r>
            <w:hyperlink r:id="rId33" w:history="1">
              <w:r>
                <w:rPr>
                  <w:rStyle w:val="a3"/>
                  <w:color w:val="0000FF"/>
                </w:rPr>
                <w:t>закона</w:t>
              </w:r>
            </w:hyperlink>
            <w:r>
              <w:rPr>
                <w:rFonts w:ascii="Calibri" w:hAnsi="Calibri" w:cs="Arial"/>
                <w:color w:val="444444"/>
                <w:sz w:val="22"/>
                <w:szCs w:val="22"/>
              </w:rPr>
              <w:t xml:space="preserve"> от 27.12.2019 № 479-ФЗ.</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Федеральному казначейству в ЦБ РФ открывается единый казначейский счет, а территориальному ОФК, финансовому органу субъекта РФ, муниципального образования, органу управления государственным внебюджетным фондом – казначейские счета для операций с денежными средствами участников системы казначейских платежей.</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В этой связи Минфин России </w:t>
            </w:r>
            <w:hyperlink r:id="rId34" w:history="1">
              <w:r>
                <w:rPr>
                  <w:rStyle w:val="a3"/>
                  <w:color w:val="0000FF"/>
                </w:rPr>
                <w:t>рекомендует</w:t>
              </w:r>
            </w:hyperlink>
            <w:r>
              <w:rPr>
                <w:rFonts w:ascii="Calibri" w:hAnsi="Calibri" w:cs="Arial"/>
                <w:color w:val="444444"/>
                <w:sz w:val="22"/>
                <w:szCs w:val="22"/>
              </w:rPr>
              <w:t xml:space="preserve"> получателям бюджетных средств:</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внести реквизиты казначейских счетов в контракты, договоры, соглашения, которые заключаются в 2020 году и вступают в силу в 2021 году;</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уведомить контрагентов по действующим контрактам, договорам, соглашениям об изменении реквизитов счетов, если условиями соглашений предусмотрен уведомительный порядок. В ином случае заключить дополнительные соглашения, которые предусматривают внесение изменений в реквизиты с 1 января 2021 года либо с даты заключения дополнительных соглашений;</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внести информацию о реквизитах счетов, действующих в 2020 году, а также о реквизитах счетов, которые будут действовать в 2021 году, в бюджетные обязательства, возникшие на основании контрактов, договоров, соглашений, заключенных до 1 января 2021 года, и поставленные на учет в территориальных ОФК.</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Реквизиты казначейских счетов можно получить в территориальных ОФК по месту обслуживания участника системы казначейских платежей.</w:t>
            </w:r>
            <w:r>
              <w:rPr>
                <w:rFonts w:ascii="Calibri" w:hAnsi="Calibri" w:cs="Arial"/>
                <w:b/>
                <w:bCs/>
                <w:color w:val="444444"/>
                <w:sz w:val="22"/>
                <w:szCs w:val="22"/>
              </w:rPr>
              <w:t xml:space="preserve"> </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30"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35" w:tgtFrame="_blank" w:history="1">
              <w:r>
                <w:rPr>
                  <w:rStyle w:val="a3"/>
                  <w:rFonts w:eastAsia="Times New Roman"/>
                  <w:b/>
                  <w:bCs/>
                  <w:color w:val="555555"/>
                  <w:sz w:val="27"/>
                  <w:szCs w:val="27"/>
                  <w:u w:val="none"/>
                </w:rPr>
                <w:t xml:space="preserve">Как провести годовую инвентаризацию в условиях ограничительных мер по защите здоровья сотрудников: рекомендации Минфина для учреждений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Возможности: воспользоваться одним из предложенных Минфином вариантов проведения инвентаризации в период пандемии.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5408" behindDoc="0" locked="0" layoutInCell="1" allowOverlap="0" wp14:anchorId="0ECA30BE" wp14:editId="7DBC9767">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37" w:history="1">
              <w:r>
                <w:rPr>
                  <w:rStyle w:val="a3"/>
                  <w:color w:val="0000FF"/>
                </w:rPr>
                <w:t>Письме</w:t>
              </w:r>
            </w:hyperlink>
            <w:r>
              <w:rPr>
                <w:rFonts w:ascii="Calibri" w:hAnsi="Calibri" w:cs="Arial"/>
                <w:color w:val="444444"/>
                <w:sz w:val="22"/>
                <w:szCs w:val="22"/>
              </w:rPr>
              <w:t xml:space="preserve"> от 24.12.220 № 02-07-07/113668 сообщил следующее: в рамках определения способов и порядка проведения инвентаризации в условиях реализации ограничительных мер по защите здоровья необходимо </w:t>
            </w:r>
            <w:r>
              <w:rPr>
                <w:rFonts w:ascii="Calibri" w:hAnsi="Calibri" w:cs="Arial"/>
                <w:color w:val="444444"/>
                <w:sz w:val="22"/>
                <w:szCs w:val="22"/>
              </w:rPr>
              <w:lastRenderedPageBreak/>
              <w:t>предусмотреть проведение инвентаризации посредством обследования документов, подтверждающих обоснованность отражения в бухучете соответствующих активов и обязательств с данными бухгалтерского учета и с данными ЕГРН и других госреестров.</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Проведение инвентаризации возможно с применением видео- и фотофиксации фактического наличия или отсутствия имущества в режиме реального времени с присутствием отдельных членов комиссии по месту нахождения имущества.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Инвентаризацию расчетов представляется возможным провести посредством использования системы межведомственного электронного документооборота, посредством электронного взаимодействия с участниками расчетов.</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При направлении контрагентам актов сверки расчетов целесообразно в акт и (или) в сопроводительное письмо включить положения о необходимости представления возражений в конкретные сроки, позволяющие субъекту учета отразить необходимые корректировки в годовой бухгалтерской отчетности.</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Также указано, что в случае если из пяти членов комиссии присутствовали при инвентаризации четверо (трое и председатель) и результаты голосования – два «за», два «против», то голос председателя является решающим.</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lastRenderedPageBreak/>
              <w:pict>
                <v:rect id="_x0000_i1031"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38" w:tgtFrame="_blank" w:history="1">
              <w:r>
                <w:rPr>
                  <w:rStyle w:val="a3"/>
                  <w:rFonts w:eastAsia="Times New Roman"/>
                  <w:b/>
                  <w:bCs/>
                  <w:color w:val="555555"/>
                  <w:sz w:val="27"/>
                  <w:szCs w:val="27"/>
                  <w:u w:val="none"/>
                </w:rPr>
                <w:t xml:space="preserve">Минфин дал рекомендации по проведению аудита годовой отчетности учреждений за 2020 год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ознакомиться с рекомендациями проверок годовой бухотчетности и годовой консолидированной финансовой отчетности за 2020 год в условиях распространения коронавируса.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6432" behindDoc="0" locked="0" layoutInCell="1" allowOverlap="0" wp14:anchorId="4E9848D0" wp14:editId="432E344C">
                  <wp:simplePos x="0" y="0"/>
                  <wp:positionH relativeFrom="column">
                    <wp:align>left</wp:align>
                  </wp:positionH>
                  <wp:positionV relativeFrom="line">
                    <wp:posOffset>0</wp:posOffset>
                  </wp:positionV>
                  <wp:extent cx="1190625" cy="80010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40" w:history="1">
              <w:r>
                <w:rPr>
                  <w:rStyle w:val="a3"/>
                  <w:color w:val="0000FF"/>
                </w:rPr>
                <w:t>Рекомендациях</w:t>
              </w:r>
            </w:hyperlink>
            <w:r>
              <w:rPr>
                <w:rFonts w:ascii="Calibri" w:hAnsi="Calibri" w:cs="Arial"/>
                <w:color w:val="444444"/>
                <w:sz w:val="22"/>
                <w:szCs w:val="22"/>
              </w:rPr>
              <w:t xml:space="preserve">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коронавирусной инфекции от 18.12.2020 № 56 сообщается, что вероятность и масштаб потенциального влияния условий COVID-19 на бухгалтерскую отчетность аудируемого лица зависят от следующих факторов:</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относится ли отрасль осуществления деятельности аудируемого лица к наиболее пострадавшим отраслям экономики;</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насколько волатильность на рынках капитала, товарных и валютных рынках влияет на финансовое положение и результаты деятельности аудируемого лица.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Определен ряд вопросов, на которые необходимо обратить особое внимание при проведении аудита, в числе которых, например, оценка руководством способности аудируемого лица продолжать непрерывно деятельность в условиях COVID-19; обесценение нефинансовых активов; простои в использовании объектов основных средств и проч.</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Аудитору необходимо обеспечить активное взаимодействие с руководством и лицами, отвечающими за корпоративное управление аудируемого лица, с целью понимания характера и степени влияния условий COVID-19 на систему внутреннего контроля аудируемого лица.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В условиях COVID-19 могут усилиться факторы риска недобросовестных действий, </w:t>
            </w:r>
            <w:r>
              <w:rPr>
                <w:rFonts w:ascii="Calibri" w:hAnsi="Calibri" w:cs="Arial"/>
                <w:color w:val="444444"/>
                <w:sz w:val="22"/>
                <w:szCs w:val="22"/>
              </w:rPr>
              <w:lastRenderedPageBreak/>
              <w:t xml:space="preserve">указанные в </w:t>
            </w:r>
            <w:hyperlink r:id="rId41" w:history="1">
              <w:r>
                <w:rPr>
                  <w:rStyle w:val="a3"/>
                  <w:color w:val="0000FF"/>
                </w:rPr>
                <w:t>МСА 240</w:t>
              </w:r>
            </w:hyperlink>
            <w:r>
              <w:rPr>
                <w:rFonts w:ascii="Calibri" w:hAnsi="Calibri" w:cs="Arial"/>
                <w:color w:val="444444"/>
                <w:sz w:val="22"/>
                <w:szCs w:val="22"/>
              </w:rPr>
              <w:t>.</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Особое значение приобретают киберриски. Возрастает количество кибератак на ИТ-системы аудируемых лиц. Киберпреступники могут выдавать себя за ИТ-персонал аудируемого лица, перенаправлять получателей фишинговых сообщений на поддельные вэб-страницы, с которых якобы осуществляется удаленный доступ к внутренним сетям аудируемых лиц или доступ к учетным записям.</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Также обращается внимание на возможность повышения рисков ОД/ФТ/ФРОМУ. Аудиторы обязаны уведомлять Росфинмониторинг о любых основаниях полагать, что сделки или финансовые операции аудируемого лица осуществляются или могут быть осуществлены в целях ОД/ФТ.</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lastRenderedPageBreak/>
              <w:pict>
                <v:rect id="_x0000_i1032"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42" w:tgtFrame="_blank" w:history="1">
              <w:r>
                <w:rPr>
                  <w:rStyle w:val="a3"/>
                  <w:rFonts w:eastAsia="Times New Roman"/>
                  <w:b/>
                  <w:bCs/>
                  <w:color w:val="555555"/>
                  <w:sz w:val="27"/>
                  <w:szCs w:val="27"/>
                  <w:u w:val="none"/>
                </w:rPr>
                <w:t xml:space="preserve">Казначейство будет контролировать аудиторские организации, проводящие обязательный аудит бухгалтерской (финансовой) отчетности уполномоченными государственными органами и органами местного самоуправления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с 1 января 2021 года аудиторский контроль достоверности бухгалтерской (финансовой) отчетности в соответствии с законодательством РФ уполномоченными государственными органами и органами местного самоуправления осуществляется по новому регламенту.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7456" behindDoc="0" locked="0" layoutInCell="1" allowOverlap="0" wp14:anchorId="5F67E759" wp14:editId="30233878">
                  <wp:simplePos x="0" y="0"/>
                  <wp:positionH relativeFrom="column">
                    <wp:align>left</wp:align>
                  </wp:positionH>
                  <wp:positionV relativeFrom="line">
                    <wp:posOffset>0</wp:posOffset>
                  </wp:positionV>
                  <wp:extent cx="1190625" cy="79057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hyperlink r:id="rId44" w:history="1">
              <w:r>
                <w:rPr>
                  <w:rStyle w:val="a3"/>
                  <w:color w:val="0000FF"/>
                </w:rPr>
                <w:t>Приказом</w:t>
              </w:r>
            </w:hyperlink>
            <w:r>
              <w:rPr>
                <w:rFonts w:ascii="Calibri" w:hAnsi="Calibri" w:cs="Arial"/>
                <w:color w:val="444444"/>
                <w:sz w:val="22"/>
                <w:szCs w:val="22"/>
              </w:rPr>
              <w:t xml:space="preserve"> Казначейства России от 15.09.2020 № 27н разработан административный регламент по осуществлению Казначейством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45" w:history="1">
              <w:r>
                <w:rPr>
                  <w:rStyle w:val="a3"/>
                  <w:color w:val="0000FF"/>
                </w:rPr>
                <w:t>ч. 3 ст. 5</w:t>
              </w:r>
            </w:hyperlink>
            <w:r>
              <w:rPr>
                <w:rFonts w:ascii="Calibri" w:hAnsi="Calibri" w:cs="Arial"/>
                <w:color w:val="444444"/>
                <w:sz w:val="22"/>
                <w:szCs w:val="22"/>
              </w:rPr>
              <w:t xml:space="preserve"> Федерального закона от 30.12.2008 № 307-ФЗ «Об аудиторской деятельности».</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В силу </w:t>
            </w:r>
            <w:hyperlink r:id="rId46" w:history="1">
              <w:r>
                <w:rPr>
                  <w:rStyle w:val="a3"/>
                  <w:color w:val="0000FF"/>
                </w:rPr>
                <w:t>ч. 5 ст. 1</w:t>
              </w:r>
            </w:hyperlink>
            <w:r>
              <w:rPr>
                <w:rFonts w:ascii="Calibri" w:hAnsi="Calibri" w:cs="Arial"/>
                <w:color w:val="444444"/>
                <w:sz w:val="22"/>
                <w:szCs w:val="22"/>
              </w:rPr>
              <w:t xml:space="preserve"> Федерального закона № 307-ФЗ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РФ уполномоченными государственными органами и органами местного самоуправления.</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С опорой на вышеизложенное привлечение бюджетным учреждением аудиторской организации для проверки достоверности своей отчетности не освободит это учреждение от возможных проверок как со стороны органов государственного (муниципального) финансового контроля, так и со стороны учредителя.</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Речь идет об организациях, ценные бумаги которых допущены к организованным торгам, иных кредитных и страховых организациях, негосударственных пенсионных фондах, организациях, в уставных (складочных) капиталах которых доля государственной собственности составляет не менее 25 процентов, и некоторых других.</w:t>
            </w:r>
          </w:p>
          <w:p w:rsidR="00116426" w:rsidRDefault="00116426">
            <w:pPr>
              <w:pStyle w:val="a4"/>
              <w:spacing w:line="270" w:lineRule="atLeast"/>
              <w:rPr>
                <w:rFonts w:ascii="Arial" w:hAnsi="Arial" w:cs="Arial"/>
                <w:color w:val="444444"/>
                <w:sz w:val="21"/>
                <w:szCs w:val="21"/>
              </w:rPr>
            </w:pPr>
            <w:hyperlink r:id="rId47" w:history="1">
              <w:r>
                <w:rPr>
                  <w:rStyle w:val="a3"/>
                  <w:color w:val="0000FF"/>
                </w:rPr>
                <w:t>Административный регламент</w:t>
              </w:r>
            </w:hyperlink>
            <w:r>
              <w:rPr>
                <w:rFonts w:ascii="Calibri" w:hAnsi="Calibri" w:cs="Arial"/>
                <w:color w:val="444444"/>
                <w:sz w:val="22"/>
                <w:szCs w:val="22"/>
              </w:rPr>
              <w:t xml:space="preserve"> предусматривает выполнение следующих административных процедур:</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назначение и подготовка мероприятий по осуществлению контроля (надзора);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проведение мероприятий по осуществлению контроля (надзора);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применение мер воздействия по результатам мероприятий по осуществлению контроля (надзора).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lastRenderedPageBreak/>
              <w:t xml:space="preserve">Также общий срок осуществления государственного контроля (надзора) </w:t>
            </w:r>
            <w:hyperlink r:id="rId48" w:history="1">
              <w:r>
                <w:rPr>
                  <w:rStyle w:val="a3"/>
                  <w:color w:val="0000FF"/>
                </w:rPr>
                <w:t>составляет</w:t>
              </w:r>
            </w:hyperlink>
            <w:r>
              <w:rPr>
                <w:rFonts w:ascii="Calibri" w:hAnsi="Calibri" w:cs="Arial"/>
                <w:color w:val="444444"/>
                <w:sz w:val="22"/>
                <w:szCs w:val="22"/>
              </w:rPr>
              <w:t> не более 123 рабочих дней, а для аудиторских организаций, являющихся субъектами малого предпринимательства, – не более 103 рабочих дней.</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С связи с вступлением в силу </w:t>
            </w:r>
            <w:hyperlink r:id="rId49" w:history="1">
              <w:r>
                <w:rPr>
                  <w:rStyle w:val="a3"/>
                  <w:color w:val="0000FF"/>
                </w:rPr>
                <w:t>Приказа № 27н</w:t>
              </w:r>
            </w:hyperlink>
            <w:r>
              <w:rPr>
                <w:rFonts w:ascii="Calibri" w:hAnsi="Calibri" w:cs="Arial"/>
                <w:color w:val="444444"/>
                <w:sz w:val="22"/>
                <w:szCs w:val="22"/>
              </w:rPr>
              <w:t xml:space="preserve"> </w:t>
            </w:r>
            <w:hyperlink r:id="rId50" w:history="1">
              <w:r>
                <w:rPr>
                  <w:rStyle w:val="a3"/>
                  <w:color w:val="0000FF"/>
                </w:rPr>
                <w:t>Приказ</w:t>
              </w:r>
            </w:hyperlink>
            <w:r>
              <w:rPr>
                <w:rFonts w:ascii="Calibri" w:hAnsi="Calibri" w:cs="Arial"/>
                <w:color w:val="444444"/>
                <w:sz w:val="22"/>
                <w:szCs w:val="22"/>
              </w:rPr>
              <w:t xml:space="preserve"> Минфина России от 11.01.2013 № 3н утрачивает силу.</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lastRenderedPageBreak/>
              <w:pict>
                <v:rect id="_x0000_i1033"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51" w:tgtFrame="_blank" w:history="1">
              <w:r>
                <w:rPr>
                  <w:rStyle w:val="a3"/>
                  <w:rFonts w:eastAsia="Times New Roman"/>
                  <w:b/>
                  <w:bCs/>
                  <w:color w:val="555555"/>
                  <w:sz w:val="27"/>
                  <w:szCs w:val="27"/>
                  <w:u w:val="none"/>
                </w:rPr>
                <w:t xml:space="preserve">Расширены возможности формирования смет доходов и расходов в качестве составной части бюджетов муниципальных образований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Возможности: с декабря 2020 года составление сметы доходов и расходов отдельных населенных пунктов, других территорий, не являющихся муниципальными образованиями, происходит с учетом новых возможностей.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8480" behindDoc="0" locked="0" layoutInCell="1" allowOverlap="0" wp14:anchorId="54C8104D" wp14:editId="1A26395C">
                  <wp:simplePos x="0" y="0"/>
                  <wp:positionH relativeFrom="column">
                    <wp:align>left</wp:align>
                  </wp:positionH>
                  <wp:positionV relativeFrom="line">
                    <wp:posOffset>0</wp:posOffset>
                  </wp:positionV>
                  <wp:extent cx="1190625" cy="80010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hyperlink r:id="rId53" w:history="1">
              <w:r>
                <w:rPr>
                  <w:rStyle w:val="a3"/>
                  <w:color w:val="0000FF"/>
                </w:rPr>
                <w:t>Федеральным законом</w:t>
              </w:r>
            </w:hyperlink>
            <w:r>
              <w:rPr>
                <w:rFonts w:ascii="Calibri" w:hAnsi="Calibri" w:cs="Arial"/>
                <w:color w:val="444444"/>
                <w:sz w:val="22"/>
                <w:szCs w:val="22"/>
              </w:rPr>
              <w:t xml:space="preserve"> от 22.12.2020 № 458-ФЗ «О внесении изменений в статью 52 Федерального закона "Об общих принципах организации местного самоуправления в Российской Федерации"» закреплена возможность формирования 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сметы доходов и расходов отдельных населенных пунктов, других территорий, не являющихся муниципальными образованиями.</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34"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54" w:tgtFrame="_blank" w:history="1">
              <w:r>
                <w:rPr>
                  <w:rStyle w:val="a3"/>
                  <w:rFonts w:eastAsia="Times New Roman"/>
                  <w:b/>
                  <w:bCs/>
                  <w:color w:val="555555"/>
                  <w:sz w:val="27"/>
                  <w:szCs w:val="27"/>
                  <w:u w:val="none"/>
                </w:rPr>
                <w:t xml:space="preserve">Скорректированы на 2021 год и плановый период поправки в перечни КБК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с 2021 года нужно применять обновленные перечни КБК.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69504" behindDoc="0" locked="0" layoutInCell="1" allowOverlap="0" wp14:anchorId="535B659F" wp14:editId="74566531">
                  <wp:simplePos x="0" y="0"/>
                  <wp:positionH relativeFrom="column">
                    <wp:align>left</wp:align>
                  </wp:positionH>
                  <wp:positionV relativeFrom="line">
                    <wp:posOffset>0</wp:posOffset>
                  </wp:positionV>
                  <wp:extent cx="1190625" cy="790575"/>
                  <wp:effectExtent l="0" t="0" r="9525" b="9525"/>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hyperlink r:id="rId56" w:history="1">
              <w:r>
                <w:rPr>
                  <w:rStyle w:val="a3"/>
                  <w:color w:val="0000FF"/>
                </w:rPr>
                <w:t>Приказом</w:t>
              </w:r>
            </w:hyperlink>
            <w:r>
              <w:rPr>
                <w:rFonts w:ascii="Calibri" w:hAnsi="Calibri" w:cs="Arial"/>
                <w:color w:val="444444"/>
                <w:sz w:val="22"/>
                <w:szCs w:val="22"/>
              </w:rPr>
              <w:t xml:space="preserve"> Минфина России от 07.12.2020 № 297н скорректированы перечни КБК.</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Теперь Приказ содержит 91 приложение (ранее – 89).</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Вносимыми поправками приложение № 1 «Коды видов доходов бюджетов и соответствующие им коды аналитической группы подвидов доходов бюджетов» дополнено новыми КБК.</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Кроме того, отдельные изменения внесены в приложение 6 (дополнено новым КБК), в приложении 8 исключены некоторые коды, в новой редакции изложены приложение 10, приложения 12-89, а также включены новые приложения 90-91.</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35" style="width:467.75pt;height:.75pt" o:hralign="center" o:hrstd="t" o:hr="t" fillcolor="gray" stroked="f"/>
              </w:pict>
            </w:r>
          </w:p>
        </w:tc>
      </w:tr>
      <w:tr w:rsidR="00116426" w:rsidTr="00116426">
        <w:trPr>
          <w:jc w:val="center"/>
        </w:trPr>
        <w:tc>
          <w:tcPr>
            <w:tcW w:w="9000" w:type="dxa"/>
            <w:shd w:val="clear" w:color="auto" w:fill="D0D1D3"/>
            <w:tcMar>
              <w:top w:w="300" w:type="dxa"/>
              <w:left w:w="300" w:type="dxa"/>
              <w:bottom w:w="300" w:type="dxa"/>
              <w:right w:w="300" w:type="dxa"/>
            </w:tcMar>
            <w:vAlign w:val="center"/>
            <w:hideMark/>
          </w:tcPr>
          <w:p w:rsidR="00116426" w:rsidRDefault="00116426">
            <w:pPr>
              <w:rPr>
                <w:rFonts w:ascii="Arial" w:eastAsia="Times New Roman" w:hAnsi="Arial" w:cs="Arial"/>
                <w:sz w:val="27"/>
                <w:szCs w:val="27"/>
              </w:rPr>
            </w:pPr>
            <w:r>
              <w:rPr>
                <w:rFonts w:ascii="Arial" w:eastAsia="Times New Roman" w:hAnsi="Arial" w:cs="Arial"/>
                <w:sz w:val="27"/>
                <w:szCs w:val="27"/>
              </w:rPr>
              <w:lastRenderedPageBreak/>
              <w:t xml:space="preserve">ЦЕНТР ОПЕРАТИВНОГО КОНСУЛЬТИРОВАНИЯ ОТВЕЧАЕТ </w: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57" w:tgtFrame="_blank" w:history="1">
              <w:r>
                <w:rPr>
                  <w:rStyle w:val="a3"/>
                  <w:rFonts w:eastAsia="Times New Roman"/>
                  <w:b/>
                  <w:bCs/>
                  <w:color w:val="555555"/>
                  <w:sz w:val="27"/>
                  <w:szCs w:val="27"/>
                  <w:u w:val="none"/>
                </w:rPr>
                <w:t xml:space="preserve">Включается ли выплата компенсации по судебным решениям, произведенная по КВР КВР 831 КОСГУ 296, в годовую форму 0503295?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если в отчетном периоде в адрес бюджетного учреждения поступили судебные решения, то они должны быть отражены в форме 0503295.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drawing>
                <wp:anchor distT="0" distB="0" distL="142875" distR="142875" simplePos="0" relativeHeight="251670528" behindDoc="0" locked="0" layoutInCell="1" allowOverlap="0" wp14:anchorId="4908CE0D" wp14:editId="71D5B2E5">
                  <wp:simplePos x="0" y="0"/>
                  <wp:positionH relativeFrom="column">
                    <wp:align>left</wp:align>
                  </wp:positionH>
                  <wp:positionV relativeFrom="line">
                    <wp:posOffset>0</wp:posOffset>
                  </wp:positionV>
                  <wp:extent cx="1190625" cy="80010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59" w:history="1">
              <w:r>
                <w:rPr>
                  <w:rStyle w:val="a3"/>
                  <w:color w:val="0000FF"/>
                </w:rPr>
                <w:t>Готовом решении</w:t>
              </w:r>
            </w:hyperlink>
            <w:r>
              <w:rPr>
                <w:rFonts w:ascii="Calibri" w:hAnsi="Calibri" w:cs="Arial"/>
                <w:color w:val="444444"/>
                <w:sz w:val="22"/>
                <w:szCs w:val="22"/>
              </w:rPr>
              <w:t xml:space="preserve"> «Как заполнить и представить сведения об исполнении судебных решений по денежным обязательствам учреждения (ф. 0503295)» в СПС КонсультантПлюс представлены следующие разъяснения: при заполнении сведений об исполнении судебных решений по денежным обязательствам учреждения (ф. 0503295) предусматривается отражение всей совокупности подлежащих взысканию требований по денежным обязательствам вне зависимости от кода видов расходов классификации расходов бюджетов, по которым учтены указанные денежные обязательства.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Порядок заполнения сведений об исполнении судебных решений по денежным обязательствам учреждения </w:t>
            </w:r>
            <w:hyperlink r:id="rId60" w:history="1">
              <w:r>
                <w:rPr>
                  <w:rStyle w:val="a3"/>
                  <w:color w:val="0000FF"/>
                </w:rPr>
                <w:t>(ф. 0503295)</w:t>
              </w:r>
            </w:hyperlink>
            <w:r>
              <w:rPr>
                <w:rFonts w:ascii="Calibri" w:hAnsi="Calibri" w:cs="Arial"/>
                <w:color w:val="444444"/>
                <w:sz w:val="22"/>
                <w:szCs w:val="22"/>
              </w:rPr>
              <w:t xml:space="preserve"> закреплен в </w:t>
            </w:r>
            <w:hyperlink r:id="rId61" w:history="1">
              <w:r>
                <w:rPr>
                  <w:rStyle w:val="a3"/>
                  <w:color w:val="0000FF"/>
                </w:rPr>
                <w:t>п. 74.1</w:t>
              </w:r>
            </w:hyperlink>
            <w:r>
              <w:rPr>
                <w:rFonts w:ascii="Calibri" w:hAnsi="Calibri" w:cs="Arial"/>
                <w:color w:val="444444"/>
                <w:sz w:val="22"/>
                <w:szCs w:val="22"/>
              </w:rPr>
              <w:t xml:space="preserve"> Инструкции № 33н.</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Денежные обязательства по судебным решениям следует разделить на решения:</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 судов РФ – </w:t>
            </w:r>
            <w:hyperlink r:id="rId62" w:history="1">
              <w:r>
                <w:rPr>
                  <w:rStyle w:val="a3"/>
                  <w:color w:val="0000FF"/>
                </w:rPr>
                <w:t>строка 010</w:t>
              </w:r>
            </w:hyperlink>
            <w:r>
              <w:rPr>
                <w:rFonts w:ascii="Calibri" w:hAnsi="Calibri" w:cs="Arial"/>
                <w:color w:val="444444"/>
                <w:sz w:val="22"/>
                <w:szCs w:val="22"/>
              </w:rPr>
              <w:t>;</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Из обобщенных данных предусматривается отражение подлежащих взысканию требований по денежным обязательствам вне зависимости от кода видов расходов классификации расходов бюджетов, по которым учтены указанные денежные обязательства;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 по исполнительным документам российских судов – </w:t>
            </w:r>
            <w:hyperlink r:id="rId63" w:history="1">
              <w:r>
                <w:rPr>
                  <w:rStyle w:val="a3"/>
                  <w:color w:val="0000FF"/>
                </w:rPr>
                <w:t>строка 011</w:t>
              </w:r>
            </w:hyperlink>
            <w:r>
              <w:rPr>
                <w:rFonts w:ascii="Calibri" w:hAnsi="Calibri" w:cs="Arial"/>
                <w:color w:val="444444"/>
                <w:sz w:val="22"/>
                <w:szCs w:val="22"/>
              </w:rPr>
              <w:t>.</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Данные для заполнения формы можно взять, в частности, со следующих счетов бухгалтерского учета:</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0 302 93 000;</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0 302 95 000.</w:t>
            </w:r>
            <w:r>
              <w:rPr>
                <w:rFonts w:ascii="Calibri" w:hAnsi="Calibri" w:cs="Arial"/>
                <w:b/>
                <w:bCs/>
                <w:color w:val="444444"/>
                <w:sz w:val="22"/>
                <w:szCs w:val="22"/>
                <w:u w:val="single"/>
              </w:rPr>
              <w:t xml:space="preserve"> </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36" style="width:467.75pt;height:.75pt" o:hralign="center" o:hrstd="t" o:hr="t" fillcolor="gray" stroked="f"/>
              </w:pict>
            </w:r>
          </w:p>
        </w:tc>
      </w:tr>
      <w:tr w:rsidR="00116426" w:rsidTr="00116426">
        <w:trPr>
          <w:jc w:val="center"/>
        </w:trPr>
        <w:tc>
          <w:tcPr>
            <w:tcW w:w="9000" w:type="dxa"/>
            <w:shd w:val="clear" w:color="auto" w:fill="FFFFFF"/>
            <w:tcMar>
              <w:top w:w="300" w:type="dxa"/>
              <w:left w:w="450" w:type="dxa"/>
              <w:bottom w:w="150" w:type="dxa"/>
              <w:right w:w="450" w:type="dxa"/>
            </w:tcMar>
            <w:vAlign w:val="center"/>
            <w:hideMark/>
          </w:tcPr>
          <w:p w:rsidR="00116426" w:rsidRDefault="00116426">
            <w:pPr>
              <w:rPr>
                <w:rFonts w:eastAsia="Times New Roman"/>
              </w:rPr>
            </w:pPr>
            <w:hyperlink r:id="rId64" w:tgtFrame="_blank" w:history="1">
              <w:r>
                <w:rPr>
                  <w:rStyle w:val="a3"/>
                  <w:rFonts w:eastAsia="Times New Roman"/>
                  <w:b/>
                  <w:bCs/>
                  <w:color w:val="555555"/>
                  <w:sz w:val="27"/>
                  <w:szCs w:val="27"/>
                  <w:u w:val="none"/>
                </w:rPr>
                <w:t xml:space="preserve">При заполнении формы СЗВ-ТД в 2021 году обязательна ли к заполнению графа 5 в табличной части поля «Код выполняемой функции» и в каких случаях ее надо заполнять? </w:t>
              </w:r>
            </w:hyperlink>
          </w:p>
        </w:tc>
      </w:tr>
      <w:tr w:rsidR="00116426" w:rsidTr="0011642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6426">
              <w:tc>
                <w:tcPr>
                  <w:tcW w:w="7650" w:type="dxa"/>
                  <w:shd w:val="clear" w:color="auto" w:fill="EEEEEE"/>
                  <w:tcMar>
                    <w:top w:w="225" w:type="dxa"/>
                    <w:left w:w="225" w:type="dxa"/>
                    <w:bottom w:w="225" w:type="dxa"/>
                    <w:right w:w="225" w:type="dxa"/>
                  </w:tcMar>
                  <w:vAlign w:val="center"/>
                  <w:hideMark/>
                </w:tcPr>
                <w:p w:rsidR="00116426" w:rsidRDefault="00116426">
                  <w:pPr>
                    <w:rPr>
                      <w:rFonts w:eastAsia="Times New Roman"/>
                    </w:rPr>
                  </w:pPr>
                  <w:r>
                    <w:rPr>
                      <w:rFonts w:ascii="Arial" w:eastAsia="Times New Roman" w:hAnsi="Arial" w:cs="Arial"/>
                      <w:color w:val="444444"/>
                      <w:sz w:val="21"/>
                      <w:szCs w:val="21"/>
                    </w:rPr>
                    <w:t xml:space="preserve">Риски: графа 5 «Код выполняемой функции (при наличии)» формы СЗВ-ТД подлежит заполнению с 1 января 2021 года работодателями, принявшими решение о применении профессиональных стандартов по должностям, занимаемым застрахованными лицами. </w:t>
                  </w:r>
                </w:p>
              </w:tc>
            </w:tr>
          </w:tbl>
          <w:p w:rsidR="00116426" w:rsidRDefault="00116426">
            <w:pPr>
              <w:rPr>
                <w:rFonts w:eastAsia="Times New Roman"/>
                <w:sz w:val="20"/>
                <w:szCs w:val="20"/>
              </w:rPr>
            </w:pPr>
          </w:p>
        </w:tc>
      </w:tr>
      <w:tr w:rsidR="00116426" w:rsidTr="00116426">
        <w:trPr>
          <w:jc w:val="center"/>
        </w:trPr>
        <w:tc>
          <w:tcPr>
            <w:tcW w:w="9000" w:type="dxa"/>
            <w:shd w:val="clear" w:color="auto" w:fill="FFFFFF"/>
            <w:tcMar>
              <w:top w:w="300" w:type="dxa"/>
              <w:left w:w="450" w:type="dxa"/>
              <w:bottom w:w="300" w:type="dxa"/>
              <w:right w:w="450" w:type="dxa"/>
            </w:tcMar>
            <w:vAlign w:val="center"/>
            <w:hideMark/>
          </w:tcPr>
          <w:p w:rsidR="00116426" w:rsidRDefault="00116426">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71552" behindDoc="0" locked="0" layoutInCell="1" allowOverlap="0" wp14:anchorId="60C2549F" wp14:editId="1A354E9A">
                  <wp:simplePos x="0" y="0"/>
                  <wp:positionH relativeFrom="column">
                    <wp:align>left</wp:align>
                  </wp:positionH>
                  <wp:positionV relativeFrom="line">
                    <wp:posOffset>0</wp:posOffset>
                  </wp:positionV>
                  <wp:extent cx="1190625" cy="8001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 xml:space="preserve">С 2020 года некоторые работодатели должны заполнить </w:t>
            </w:r>
            <w:hyperlink r:id="rId65" w:history="1">
              <w:r>
                <w:rPr>
                  <w:rStyle w:val="a3"/>
                  <w:color w:val="0000FF"/>
                </w:rPr>
                <w:t>Форму СЗВ-ТД</w:t>
              </w:r>
            </w:hyperlink>
            <w:r>
              <w:rPr>
                <w:rFonts w:ascii="Calibri" w:hAnsi="Calibri" w:cs="Arial"/>
                <w:color w:val="444444"/>
                <w:sz w:val="22"/>
                <w:szCs w:val="22"/>
              </w:rPr>
              <w:t xml:space="preserve"> в обязательном порядке. Кто должен заполнить и сдать данную </w:t>
            </w:r>
            <w:hyperlink r:id="rId66" w:history="1">
              <w:r>
                <w:rPr>
                  <w:rStyle w:val="a3"/>
                  <w:color w:val="0000FF"/>
                </w:rPr>
                <w:t>форму</w:t>
              </w:r>
            </w:hyperlink>
            <w:r>
              <w:rPr>
                <w:rFonts w:ascii="Calibri" w:hAnsi="Calibri" w:cs="Arial"/>
                <w:color w:val="444444"/>
                <w:sz w:val="22"/>
                <w:szCs w:val="22"/>
              </w:rPr>
              <w:t xml:space="preserve">? Как заполнять в первый раз по новому работнику и в последующем регулярно? Куда ее сдавать? Какие есть нюансы при заполнении на сотрудников, которые работают по совместительству и дистанционно? Ответы на эти и другие вопросы можно найти в </w:t>
            </w:r>
            <w:hyperlink r:id="rId67" w:history="1">
              <w:r>
                <w:rPr>
                  <w:rStyle w:val="a3"/>
                  <w:color w:val="0000FF"/>
                </w:rPr>
                <w:t>Статье</w:t>
              </w:r>
            </w:hyperlink>
            <w:r>
              <w:rPr>
                <w:rFonts w:ascii="Calibri" w:hAnsi="Calibri" w:cs="Arial"/>
                <w:color w:val="444444"/>
                <w:sz w:val="22"/>
                <w:szCs w:val="22"/>
              </w:rPr>
              <w:t xml:space="preserve"> «Как без проблем сдать отчет по форме СЗВ-ТД</w:t>
            </w:r>
            <w:r>
              <w:rPr>
                <w:rFonts w:ascii="Calibri" w:hAnsi="Calibri" w:cs="Arial"/>
                <w:color w:val="000000"/>
                <w:sz w:val="22"/>
                <w:szCs w:val="22"/>
              </w:rPr>
              <w:t>»</w:t>
            </w:r>
            <w:r>
              <w:rPr>
                <w:rFonts w:ascii="Calibri" w:hAnsi="Calibri" w:cs="Arial"/>
                <w:color w:val="444444"/>
                <w:sz w:val="22"/>
                <w:szCs w:val="22"/>
              </w:rPr>
              <w:t xml:space="preserve"> в СПС КонсультантПлюс, которая поможет работодателю правильно и вовремя сдать отчет по новой </w:t>
            </w:r>
            <w:hyperlink r:id="rId68" w:history="1">
              <w:r>
                <w:rPr>
                  <w:rStyle w:val="a3"/>
                  <w:color w:val="0000FF"/>
                </w:rPr>
                <w:t>форме</w:t>
              </w:r>
            </w:hyperlink>
            <w:r>
              <w:rPr>
                <w:rFonts w:ascii="Calibri" w:hAnsi="Calibri" w:cs="Arial"/>
                <w:color w:val="444444"/>
                <w:sz w:val="22"/>
                <w:szCs w:val="22"/>
              </w:rPr>
              <w:t xml:space="preserve">. </w:t>
            </w:r>
          </w:p>
          <w:p w:rsidR="00116426" w:rsidRDefault="00116426">
            <w:pPr>
              <w:pStyle w:val="a4"/>
              <w:spacing w:line="270" w:lineRule="atLeast"/>
              <w:rPr>
                <w:rFonts w:ascii="Arial" w:hAnsi="Arial" w:cs="Arial"/>
                <w:color w:val="444444"/>
                <w:sz w:val="21"/>
                <w:szCs w:val="21"/>
              </w:rPr>
            </w:pPr>
            <w:r>
              <w:rPr>
                <w:rFonts w:ascii="Calibri" w:hAnsi="Calibri" w:cs="Arial"/>
                <w:color w:val="444444"/>
                <w:sz w:val="22"/>
                <w:szCs w:val="22"/>
              </w:rPr>
              <w:t>Что касается заполнения графы 5 формы СЗВ-ТД, то она имеет свои особенности:</w:t>
            </w:r>
            <w:r>
              <w:rPr>
                <w:rFonts w:ascii="Calibri" w:hAnsi="Calibri" w:cs="Arial"/>
                <w:color w:val="444444"/>
                <w:sz w:val="22"/>
                <w:szCs w:val="22"/>
              </w:rPr>
              <w:br/>
              <w:t>– в 2020 году ее заполнять не нужно. Но если используется профстандарт, достаточно указать код в графе 5, такой отчет будет принят;</w:t>
            </w:r>
            <w:r>
              <w:rPr>
                <w:rFonts w:ascii="Calibri" w:hAnsi="Calibri" w:cs="Arial"/>
                <w:color w:val="444444"/>
                <w:sz w:val="22"/>
                <w:szCs w:val="22"/>
              </w:rPr>
              <w:br/>
              <w:t xml:space="preserve">– начиная с 2021 года рекомендации такие: если по должности нет утвержденного профстандарта, то графа 5 не заполняется. Если есть и используется у работодателя, то в графе 5 указывается код, который состоит из 7 знаков, в формате XX.XXX-X-X. </w:t>
            </w:r>
          </w:p>
        </w:tc>
      </w:tr>
      <w:tr w:rsidR="00116426" w:rsidTr="00116426">
        <w:trPr>
          <w:jc w:val="center"/>
        </w:trPr>
        <w:tc>
          <w:tcPr>
            <w:tcW w:w="9000" w:type="dxa"/>
            <w:shd w:val="clear" w:color="auto" w:fill="FFFFFF"/>
            <w:tcMar>
              <w:top w:w="0" w:type="dxa"/>
              <w:left w:w="375" w:type="dxa"/>
              <w:bottom w:w="0" w:type="dxa"/>
              <w:right w:w="375" w:type="dxa"/>
            </w:tcMar>
            <w:vAlign w:val="center"/>
            <w:hideMark/>
          </w:tcPr>
          <w:p w:rsidR="00116426" w:rsidRDefault="00116426">
            <w:pPr>
              <w:jc w:val="center"/>
              <w:rPr>
                <w:rFonts w:eastAsia="Times New Roman"/>
              </w:rPr>
            </w:pPr>
            <w:r>
              <w:rPr>
                <w:rFonts w:eastAsia="Times New Roman"/>
              </w:rPr>
              <w:pict>
                <v:rect id="_x0000_i1037" style="width:467.75pt;height:.75pt" o:hralign="center" o:hrstd="t" o:hr="t" fillcolor="gray" stroked="f"/>
              </w:pict>
            </w:r>
          </w:p>
        </w:tc>
      </w:tr>
    </w:tbl>
    <w:p w:rsidR="0087063E" w:rsidRDefault="0087063E"/>
    <w:sectPr w:rsidR="00870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26"/>
    <w:rsid w:val="00116426"/>
    <w:rsid w:val="0087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2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426"/>
    <w:rPr>
      <w:rFonts w:ascii="Arial" w:hAnsi="Arial" w:cs="Arial" w:hint="default"/>
      <w:color w:val="00707B"/>
      <w:sz w:val="21"/>
      <w:szCs w:val="21"/>
      <w:u w:val="single"/>
    </w:rPr>
  </w:style>
  <w:style w:type="paragraph" w:styleId="a4">
    <w:name w:val="Normal (Web)"/>
    <w:basedOn w:val="a"/>
    <w:uiPriority w:val="99"/>
    <w:unhideWhenUsed/>
    <w:rsid w:val="00116426"/>
  </w:style>
  <w:style w:type="character" w:customStyle="1" w:styleId="title-main">
    <w:name w:val="title-main"/>
    <w:basedOn w:val="a0"/>
    <w:rsid w:val="00116426"/>
  </w:style>
  <w:style w:type="paragraph" w:styleId="a5">
    <w:name w:val="Balloon Text"/>
    <w:basedOn w:val="a"/>
    <w:link w:val="a6"/>
    <w:uiPriority w:val="99"/>
    <w:semiHidden/>
    <w:unhideWhenUsed/>
    <w:rsid w:val="00116426"/>
    <w:rPr>
      <w:rFonts w:ascii="Tahoma" w:hAnsi="Tahoma" w:cs="Tahoma"/>
      <w:sz w:val="16"/>
      <w:szCs w:val="16"/>
    </w:rPr>
  </w:style>
  <w:style w:type="character" w:customStyle="1" w:styleId="a6">
    <w:name w:val="Текст выноски Знак"/>
    <w:basedOn w:val="a0"/>
    <w:link w:val="a5"/>
    <w:uiPriority w:val="99"/>
    <w:semiHidden/>
    <w:rsid w:val="0011642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2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426"/>
    <w:rPr>
      <w:rFonts w:ascii="Arial" w:hAnsi="Arial" w:cs="Arial" w:hint="default"/>
      <w:color w:val="00707B"/>
      <w:sz w:val="21"/>
      <w:szCs w:val="21"/>
      <w:u w:val="single"/>
    </w:rPr>
  </w:style>
  <w:style w:type="paragraph" w:styleId="a4">
    <w:name w:val="Normal (Web)"/>
    <w:basedOn w:val="a"/>
    <w:uiPriority w:val="99"/>
    <w:unhideWhenUsed/>
    <w:rsid w:val="00116426"/>
  </w:style>
  <w:style w:type="character" w:customStyle="1" w:styleId="title-main">
    <w:name w:val="title-main"/>
    <w:basedOn w:val="a0"/>
    <w:rsid w:val="00116426"/>
  </w:style>
  <w:style w:type="paragraph" w:styleId="a5">
    <w:name w:val="Balloon Text"/>
    <w:basedOn w:val="a"/>
    <w:link w:val="a6"/>
    <w:uiPriority w:val="99"/>
    <w:semiHidden/>
    <w:unhideWhenUsed/>
    <w:rsid w:val="00116426"/>
    <w:rPr>
      <w:rFonts w:ascii="Tahoma" w:hAnsi="Tahoma" w:cs="Tahoma"/>
      <w:sz w:val="16"/>
      <w:szCs w:val="16"/>
    </w:rPr>
  </w:style>
  <w:style w:type="character" w:customStyle="1" w:styleId="a6">
    <w:name w:val="Текст выноски Знак"/>
    <w:basedOn w:val="a0"/>
    <w:link w:val="a5"/>
    <w:uiPriority w:val="99"/>
    <w:semiHidden/>
    <w:rsid w:val="0011642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6AF81AC966F4340066E6FB27C1E6E89E527D3CD8F424645165E6BC240FC951DDC3FBCDB4F14BD545C3DC3BD7F5A146CDB4F83981533j9pBW" TargetMode="External"/><Relationship Id="rId18" Type="http://schemas.openxmlformats.org/officeDocument/2006/relationships/hyperlink" Target="consultantplus://offline/ref=905CA623E3E2CB82BECCF202DDDD1D4B71F56567064B790D2800756D84E3C4FE3C5536A515C59BB1C168D422A1976FF222C46722FD26FF758BAFF385jAb6W" TargetMode="External"/><Relationship Id="rId26" Type="http://schemas.openxmlformats.org/officeDocument/2006/relationships/hyperlink" Target="consultantplus://offline/ref=BC85EC689C53DDDA7430A50315B4758C54491A352C44925A9B1D444493D373021DC545FBC8656006E6CD6FEC6C0D1C8E84EB89CDA1951F339F9D5EFCtBE7W" TargetMode="External"/><Relationship Id="rId39" Type="http://schemas.openxmlformats.org/officeDocument/2006/relationships/image" Target="media/image9.jpeg"/><Relationship Id="rId21" Type="http://schemas.openxmlformats.org/officeDocument/2006/relationships/hyperlink" Target="http://work.elcode.ru/subscribe/link/?hash=732f296b9931ffec0cc09451863890af&amp;id_send=16244&amp;id_email=8523601&amp;url=https%3A%2F%2Flogin.consultant.ru%2Flink%2F%3Freq%3Ddoc%26base%3DLAW%26n%3D371589%26dst%3D100004&amp;uid_news=850532&amp;cli=" TargetMode="External"/><Relationship Id="rId34" Type="http://schemas.openxmlformats.org/officeDocument/2006/relationships/hyperlink" Target="consultantplus://offline/ref=41CA93E720A2A6D1D42BF2BC7753DF56C59F4317EB7A57609548C589DE5A9C27D8F06803D77C027718337E473BEDE3EE0E6AA2E457B1F648t8z9V" TargetMode="External"/><Relationship Id="rId42" Type="http://schemas.openxmlformats.org/officeDocument/2006/relationships/hyperlink" Target="http://work.elcode.ru/subscribe/link/?hash=732f296b9931ffec0cc09451863890af&amp;id_send=16244&amp;id_email=8523601&amp;url=https%3A%2F%2Flogin.consultant.ru%2Flink%2F%3Freq%3Ddoc%26base%3DLAW%26n%3D371828%26dst%3D100004&amp;uid_news=850510&amp;cli=" TargetMode="External"/><Relationship Id="rId47" Type="http://schemas.openxmlformats.org/officeDocument/2006/relationships/hyperlink" Target="consultantplus://offline/ref=803435418F35F6D5B61C80E4E1DE3DC87C6C41AEA4F28829992C2110FE884E85601C32FAFE6CCBCA4F225690970AC47D4E1BFDE5B78090C3F2C73E0ES5W4X" TargetMode="External"/><Relationship Id="rId50" Type="http://schemas.openxmlformats.org/officeDocument/2006/relationships/hyperlink" Target="consultantplus://offline/ref=EDFEAA9A3AA5D5C3FB70CB7114AD391D1C16F13988C50711321EB38E001B329DD724F2A492C59E02290E8FECD70E9992401011AD2D02A4CCA0U4X" TargetMode="External"/><Relationship Id="rId55" Type="http://schemas.openxmlformats.org/officeDocument/2006/relationships/image" Target="media/image12.jpeg"/><Relationship Id="rId63" Type="http://schemas.openxmlformats.org/officeDocument/2006/relationships/hyperlink" Target="consultantplus://offline/ref=5866AF28CEB49C10A76E8491A69AF6179286F939B81F497F07F57E445CD2CF3A6DF6B2C8EB322CE050D018802DDEDC97A492335E37470DE2IDxFP" TargetMode="External"/><Relationship Id="rId68" Type="http://schemas.openxmlformats.org/officeDocument/2006/relationships/hyperlink" Target="consultantplus://offline/ref=45CB9D96180240C36EF922F4A52CE85A304502F8FF0EBFD3CE1AC68924A68E0E16BD578F985087F563AC239E5117F9356288FC3BEAB0760Fc2D8A" TargetMode="External"/><Relationship Id="rId7" Type="http://schemas.openxmlformats.org/officeDocument/2006/relationships/hyperlink" Target="http://work.elcode.ru/subscribe/link/?hash=732f296b9931ffec0cc09451863890af&amp;id_send=16244&amp;id_email=8523601&amp;url=https%3A%2F%2Flogin.consultant.ru%2Flink%2F%3Freq%3Ddoc%26base%3DLAW%26n%3D372123%26dst%3D100006&amp;uid_news=850551&amp;cli=" TargetMode="External"/><Relationship Id="rId2" Type="http://schemas.microsoft.com/office/2007/relationships/stylesWithEffects" Target="stylesWithEffects.xml"/><Relationship Id="rId16" Type="http://schemas.openxmlformats.org/officeDocument/2006/relationships/image" Target="media/image4.jpeg"/><Relationship Id="rId29" Type="http://schemas.openxmlformats.org/officeDocument/2006/relationships/hyperlink" Target="http://work.elcode.ru/subscribe/link/?hash=732f296b9931ffec0cc09451863890af&amp;id_send=16244&amp;id_email=8523601&amp;url=https%3A%2F%2Flogin.consultant.ru%2Flink%2F%3Freq%3Ddoc%26amp%3Bbase%3DLAW%26amp%3Bn%3D371937%26amp%3Bdst%3D100001&amp;uid_news=850530&amp;cli=" TargetMode="External"/><Relationship Id="rId1" Type="http://schemas.openxmlformats.org/officeDocument/2006/relationships/styles" Target="styles.xml"/><Relationship Id="rId6" Type="http://schemas.openxmlformats.org/officeDocument/2006/relationships/image" Target="cid:aabf8888f6c3e8e765271a664d6a8535@swift.generated" TargetMode="External"/><Relationship Id="rId11" Type="http://schemas.openxmlformats.org/officeDocument/2006/relationships/hyperlink" Target="http://work.elcode.ru/subscribe/link/?hash=732f296b9931ffec0cc09451863890af&amp;id_send=16244&amp;id_email=8523601&amp;url=https%3A%2F%2Flogin.consultant.ru%2Flink%2F%3Freq%3Ddoc%26amp%3Bbase%3DLAW%26amp%3Bn%3D371852%26amp%3Bdst%3D100005&amp;uid_news=850545&amp;cli=" TargetMode="External"/><Relationship Id="rId24" Type="http://schemas.openxmlformats.org/officeDocument/2006/relationships/hyperlink" Target="http://work.elcode.ru/subscribe/link/?hash=732f296b9931ffec0cc09451863890af&amp;id_send=16244&amp;id_email=8523601&amp;url=https%3A%2F%2Flogin.consultant.ru%2Flink%2F%3Freq%3Ddoc%26base%3DLAW%26n%3D371688%26dst%3D1000000003&amp;uid_news=850530&amp;cli=" TargetMode="External"/><Relationship Id="rId32" Type="http://schemas.openxmlformats.org/officeDocument/2006/relationships/hyperlink" Target="consultantplus://offline/ref=6ADD2DBE50C62B3FF434DFA80B3CA878886D60993246B5473DE66947361186320A22CC95885CBDBC43E8F3A7A9B86CE42DFE744B7B1E57F9EBTDI" TargetMode="External"/><Relationship Id="rId37" Type="http://schemas.openxmlformats.org/officeDocument/2006/relationships/hyperlink" Target="consultantplus://offline/ref=DD545BAAFDE51A6CE5BC65545A87CB7B6560F02846C3C11AF29BD022F536E6CEC70FF57FE969F2F6FC36B99524DED9866839B0B09F1D9578d8K0V" TargetMode="External"/><Relationship Id="rId40" Type="http://schemas.openxmlformats.org/officeDocument/2006/relationships/hyperlink" Target="consultantplus://offline/ref=127286151ADD9064BC8D4CA9279A5F16BC101D3BD65C0702050F1641DE21DF16C5609E5E188805CE80436B3E50d75BS" TargetMode="External"/><Relationship Id="rId45" Type="http://schemas.openxmlformats.org/officeDocument/2006/relationships/hyperlink" Target="consultantplus://offline/ref=290B7D333C164E804C7F633F96CD560DAD9D70B6846A52142D32B9E8983ADB79BB9AB24525576EB5BE3DDE59653378852436A0FF7D112F1FuAN0X" TargetMode="External"/><Relationship Id="rId53" Type="http://schemas.openxmlformats.org/officeDocument/2006/relationships/hyperlink" Target="http://work.elcode.ru/subscribe/link/?hash=732f296b9931ffec0cc09451863890af&amp;id_send=16244&amp;id_email=8523601&amp;url=https%3A%2F%2Flogin.consultant.ru%2Flink%2F%3Freq%3Ddoc%26amp%3Bbase%3DLAW%26amp%3Bn%3D371781%26amp%3Bdst%3D100004&amp;uid_news=850504&amp;cli=" TargetMode="External"/><Relationship Id="rId58" Type="http://schemas.openxmlformats.org/officeDocument/2006/relationships/image" Target="media/image13.jpeg"/><Relationship Id="rId66" Type="http://schemas.openxmlformats.org/officeDocument/2006/relationships/hyperlink" Target="consultantplus://offline/ref=45CB9D96180240C36EF922F4A52CE85A304502F8FF0EBFD3CE1AC68924A68E0E16BD578F985087F563AC239E5117F9356288FC3BEAB0760Fc2D8A" TargetMode="External"/><Relationship Id="rId5" Type="http://schemas.openxmlformats.org/officeDocument/2006/relationships/image" Target="media/image1.png"/><Relationship Id="rId15" Type="http://schemas.openxmlformats.org/officeDocument/2006/relationships/hyperlink" Target="http://work.elcode.ru/subscribe/link/?hash=732f296b9931ffec0cc09451863890af&amp;id_send=16244&amp;id_email=8523601&amp;url=https%3A%2F%2Flogin.consultant.ru%2Flink%2F%3Freq%3Ddoc%26base%3DLAW%26n%3D371722%26dst%3D100003&amp;uid_news=850537&amp;cli=" TargetMode="External"/><Relationship Id="rId23" Type="http://schemas.openxmlformats.org/officeDocument/2006/relationships/hyperlink" Target="consultantplus://offline/ref=F90DF6C37008BA3BF2DB03A1AA38CA8A3A52675DA6863127AB79FD4A34EB3EC4A4756F0A70610986C1AC872F91D8DD10E0C66BB1B67CE90DoCR0W" TargetMode="External"/><Relationship Id="rId28" Type="http://schemas.openxmlformats.org/officeDocument/2006/relationships/hyperlink" Target="consultantplus://offline/ref=B0BFE9490147CD93ACAC8879A5FF47FE81D161F0B61057F0F20B7B56AD74BDBA808115504AAEDEC31E14917F8208BFD6695BE7BB33366FECqAIDW" TargetMode="External"/><Relationship Id="rId36" Type="http://schemas.openxmlformats.org/officeDocument/2006/relationships/image" Target="media/image8.jpeg"/><Relationship Id="rId49" Type="http://schemas.openxmlformats.org/officeDocument/2006/relationships/hyperlink" Target="consultantplus://offline/ref=A203ABD90A881257076B93DFB201BF4B4F609F417D9F59D530690613F2C56A504AE97CFA7AE6280B9A59844A6DC46282A9ED16140266691631B13E9DR5T6X" TargetMode="External"/><Relationship Id="rId57" Type="http://schemas.openxmlformats.org/officeDocument/2006/relationships/hyperlink" Target="http://work.elcode.ru/subscribe/link/?hash=732f296b9931ffec0cc09451863890af&amp;id_send=16244&amp;id_email=8523601&amp;url=https%3A%2F%2Flogin.consultant.ru%2Flink%2F%3Freq%3Ddoc%26base%3DPKBO%26n%3D32083%26dst%3D100001&amp;uid_news=850484&amp;cli=" TargetMode="External"/><Relationship Id="rId61" Type="http://schemas.openxmlformats.org/officeDocument/2006/relationships/hyperlink" Target="consultantplus://offline/ref=5866AF28CEB49C10A76E8491A69AF6179286F939B81F497F07F57E445CD2CF3A6DF6B2C8EB332EE059D018802DDEDC97A492335E37470DE2IDxFP" TargetMode="External"/><Relationship Id="rId10" Type="http://schemas.openxmlformats.org/officeDocument/2006/relationships/image" Target="media/image3.jpeg"/><Relationship Id="rId19" Type="http://schemas.openxmlformats.org/officeDocument/2006/relationships/hyperlink" Target="http://work.elcode.ru/subscribe/link/?hash=732f296b9931ffec0cc09451863890af&amp;id_send=16244&amp;id_email=8523601&amp;url=https%3A%2F%2Flogin.consultant.ru%2Flink%2F%3Freq%3Ddoc%26amp%3Bbase%3DLAW%26amp%3Bn%3D370561%26amp%3Bdst%3D100641%26amp%3Bdate%3D30.12.2020&amp;uid_news=850537&amp;cli=" TargetMode="External"/><Relationship Id="rId31" Type="http://schemas.openxmlformats.org/officeDocument/2006/relationships/image" Target="media/image7.jpeg"/><Relationship Id="rId44" Type="http://schemas.openxmlformats.org/officeDocument/2006/relationships/hyperlink" Target="http://work.elcode.ru/subscribe/link/?hash=732f296b9931ffec0cc09451863890af&amp;id_send=16244&amp;id_email=8523601&amp;url=https%3A%2F%2Flogin.consultant.ru%2Flink%2F%3Freq%3Ddoc%26amp%3Bbase%3DLAW%26amp%3Bn%3D371828%26amp%3Bdst%3D100004&amp;uid_news=850510&amp;cli=" TargetMode="External"/><Relationship Id="rId52" Type="http://schemas.openxmlformats.org/officeDocument/2006/relationships/image" Target="media/image11.jpeg"/><Relationship Id="rId60" Type="http://schemas.openxmlformats.org/officeDocument/2006/relationships/hyperlink" Target="consultantplus://offline/ref=5866AF28CEB49C10A76E8491A69AF6179286F939B81F497F07F57E445CD2CF3A6DF6B2C8EB322BE757D018802DDEDC97A492335E37470DE2IDxFP" TargetMode="External"/><Relationship Id="rId65" Type="http://schemas.openxmlformats.org/officeDocument/2006/relationships/hyperlink" Target="consultantplus://offline/ref=45CB9D96180240C36EF922F4A52CE85A304502F8FF0EBFD3CE1AC68924A68E0E16BD578F985087F563AC239E5117F9356288FC3BEAB0760Fc2D8A" TargetMode="External"/><Relationship Id="rId4" Type="http://schemas.openxmlformats.org/officeDocument/2006/relationships/webSettings" Target="webSettings.xml"/><Relationship Id="rId9" Type="http://schemas.openxmlformats.org/officeDocument/2006/relationships/hyperlink" Target="http://work.elcode.ru/subscribe/link/?hash=732f296b9931ffec0cc09451863890af&amp;id_send=16244&amp;id_email=8523601&amp;url=https%3A%2F%2Flogin.consultant.ru%2Flink%2F%3Freq%3Ddoc%26base%3DLAW%26n%3D371852%26dst%3D100005&amp;uid_news=850545&amp;cli=" TargetMode="External"/><Relationship Id="rId14" Type="http://schemas.openxmlformats.org/officeDocument/2006/relationships/hyperlink" Target="consultantplus://offline/ref=0F86AF81AC966F4340066E6FB27C1E6E8BE722DBC180424645165E6BC240FC950FDC67B0DF470CB55D166E87EAj7p2W" TargetMode="External"/><Relationship Id="rId22" Type="http://schemas.openxmlformats.org/officeDocument/2006/relationships/image" Target="media/image5.jpeg"/><Relationship Id="rId27" Type="http://schemas.openxmlformats.org/officeDocument/2006/relationships/hyperlink" Target="consultantplus://offline/ref=17D9517AE270F043E1485215F7150A875794EE87550571010DFD09C054EEC20FC84450D1CF0D38CB275E0E72E81F11F2D1E23A9D6E65CF1649E249B9G6F6W" TargetMode="External"/><Relationship Id="rId30" Type="http://schemas.openxmlformats.org/officeDocument/2006/relationships/hyperlink" Target="http://work.elcode.ru/subscribe/link/?hash=732f296b9931ffec0cc09451863890af&amp;id_send=16244&amp;id_email=8523601&amp;url=https%3A%2F%2Flogin.consultant.ru%2Flink%2F%3Freq%3Ddoc%26base%3DLAW%26n%3D372150%26dst%3D100002&amp;uid_news=850527&amp;cli=" TargetMode="External"/><Relationship Id="rId35" Type="http://schemas.openxmlformats.org/officeDocument/2006/relationships/hyperlink" Target="http://work.elcode.ru/subscribe/link/?hash=732f296b9931ffec0cc09451863890af&amp;id_send=16244&amp;id_email=8523601&amp;url=https%3A%2F%2Flogin.consultant.ru%2Flink%2F%3Freq%3Ddoc%26base%3DLAW%26n%3D372200%26dst%3D1000000005&amp;uid_news=850524&amp;cli=" TargetMode="External"/><Relationship Id="rId43" Type="http://schemas.openxmlformats.org/officeDocument/2006/relationships/image" Target="media/image10.jpeg"/><Relationship Id="rId48" Type="http://schemas.openxmlformats.org/officeDocument/2006/relationships/hyperlink" Target="consultantplus://offline/ref=DD23A2E4CA0AB3F750F35C904F03D813DFE02453A8442DD7E44CBB20A61A0214FBF567C69DAA278202DFC60B19BB8A15C7FD9CC5D5DBBF86mEQCX" TargetMode="External"/><Relationship Id="rId56" Type="http://schemas.openxmlformats.org/officeDocument/2006/relationships/hyperlink" Target="http://work.elcode.ru/subscribe/link/?hash=732f296b9931ffec0cc09451863890af&amp;id_send=16244&amp;id_email=8523601&amp;url=https%3A%2F%2Flogin.consultant.ru%2Flink%2F%3Freq%3Ddoc%26amp%3Bbase%3DLAW%26amp%3Bn%3D371694%26amp%3Bdst%3D100002&amp;uid_news=850495&amp;cli=" TargetMode="External"/><Relationship Id="rId64" Type="http://schemas.openxmlformats.org/officeDocument/2006/relationships/hyperlink" Target="http://work.elcode.ru/subscribe/link/?hash=732f296b9931ffec0cc09451863890af&amp;id_send=16244&amp;id_email=8523601&amp;url=https%3A%2F%2Flogin.consultant.ru%2Flink%2F%3Freq%3Ddoc%26base%3DPBI%26n%3D265260%26dst%3D100002&amp;uid_news=850479&amp;cli="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ork.elcode.ru/subscribe/link/?hash=732f296b9931ffec0cc09451863890af&amp;id_send=16244&amp;id_email=8523601&amp;url=https%3A%2F%2Flogin.consultant.ru%2Flink%2F%3Freq%3Ddoc%26base%3DLAW%26n%3D371781%26dst%3D1000000005&amp;uid_news=850504&amp;cli=" TargetMode="External"/><Relationship Id="rId3" Type="http://schemas.openxmlformats.org/officeDocument/2006/relationships/settings" Target="settings.xml"/><Relationship Id="rId12" Type="http://schemas.openxmlformats.org/officeDocument/2006/relationships/hyperlink" Target="consultantplus://offline/ref=F7E18539C18CB46E24FB8FECBB4CB2234734C11F648E6C2F485F07DCA72528FAD0EF5830DFA54D1C732CDB310A4EAE5E5E1B2D2859DA4A59t6oDW" TargetMode="External"/><Relationship Id="rId17" Type="http://schemas.openxmlformats.org/officeDocument/2006/relationships/hyperlink" Target="http://work.elcode.ru/subscribe/link/?hash=732f296b9931ffec0cc09451863890af&amp;id_send=16244&amp;id_email=8523601&amp;url=https%3A%2F%2Flogin.consultant.ru%2Flink%2F%3Freq%3Ddoc%26amp%3Bbase%3DLAW%26amp%3Bn%3D371722%26amp%3Bdst%3D1000000005&amp;uid_news=850537&amp;cli=" TargetMode="External"/><Relationship Id="rId25" Type="http://schemas.openxmlformats.org/officeDocument/2006/relationships/image" Target="media/image6.jpeg"/><Relationship Id="rId33" Type="http://schemas.openxmlformats.org/officeDocument/2006/relationships/hyperlink" Target="consultantplus://offline/ref=3BB94F7F44EDBF758226AE46F5240F2D8F54959CEA105825FF866DC9225AF11A9F84F7E67F5E875C045B5BF730s3y7V" TargetMode="External"/><Relationship Id="rId38" Type="http://schemas.openxmlformats.org/officeDocument/2006/relationships/hyperlink" Target="http://work.elcode.ru/subscribe/link/?hash=732f296b9931ffec0cc09451863890af&amp;id_send=16244&amp;id_email=8523601&amp;url=https%3A%2F%2Flogin.consultant.ru%2Flink%2F%3Freq%3Ddoc%26base%3DLAW%26n%3D371705%26dst%3D1000000006&amp;uid_news=850519&amp;cli=" TargetMode="External"/><Relationship Id="rId46" Type="http://schemas.openxmlformats.org/officeDocument/2006/relationships/hyperlink" Target="consultantplus://offline/ref=B8966597B85BE9ABDC5AC2180EC775171CF99A0A4587D6F3C0A6CEE6E5255EA4766042B0018B20594CBD1A3F731CA52BA5D2CF650BEF010Al6l1T" TargetMode="External"/><Relationship Id="rId59" Type="http://schemas.openxmlformats.org/officeDocument/2006/relationships/hyperlink" Target="consultantplus://offline/ref=6146F4FBDED51A70B34D7AC8049FF55AD3BCA6FFA2465CBD88CBC0FC1183C8E2C039B1431DB1751B71B9EF9B3C8F67C6C02B3F4E332CD016x9y5X" TargetMode="External"/><Relationship Id="rId67" Type="http://schemas.openxmlformats.org/officeDocument/2006/relationships/hyperlink" Target="consultantplus://offline/ref=CFC56023BEA5F611E496D59F9156475FDA7960476208509E816D5846C97ABCAC09C5540EB65D9EC873DCFCE75FE9AADCD122B1836113D4CACFG1A" TargetMode="External"/><Relationship Id="rId20" Type="http://schemas.openxmlformats.org/officeDocument/2006/relationships/hyperlink" Target="http://work.elcode.ru/subscribe/link/?hash=732f296b9931ffec0cc09451863890af&amp;id_send=16244&amp;id_email=8523601&amp;url=https%3A%2F%2Flogin.consultant.ru%2Flink%2F%3Freq%3Ddoc%26amp%3Bbase%3DLAW%26amp%3Bn%3D356933%26amp%3Bdst%3D100003&amp;uid_news=850537&amp;cli=" TargetMode="External"/><Relationship Id="rId41" Type="http://schemas.openxmlformats.org/officeDocument/2006/relationships/hyperlink" Target="consultantplus://offline/ref=A696E9812F5167CF804F255E838910DC6A24CEEFFEAC83D7A7A87BC969A0C92B96F22AB14A0AEE34DE1E1F909AzC33W" TargetMode="External"/><Relationship Id="rId54" Type="http://schemas.openxmlformats.org/officeDocument/2006/relationships/hyperlink" Target="http://work.elcode.ru/subscribe/link/?hash=732f296b9931ffec0cc09451863890af&amp;id_send=16244&amp;id_email=8523601&amp;url=https%3A%2F%2Flogin.consultant.ru%2Flink%2F%3Freq%3Ddoc%26base%3DLAW%26n%3D371694%26dst%3D1000000003&amp;uid_news=850495&amp;cli=" TargetMode="External"/><Relationship Id="rId62" Type="http://schemas.openxmlformats.org/officeDocument/2006/relationships/hyperlink" Target="consultantplus://offline/ref=5866AF28CEB49C10A76E8491A69AF6179286F939B81F497F07F57E445CD2CF3A6DF6B2C8EB322BE957D018802DDEDC97A492335E37470DE2IDxFP"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2020-12-30T13:20:00Z</dcterms:created>
  <dcterms:modified xsi:type="dcterms:W3CDTF">2020-12-30T13:21:00Z</dcterms:modified>
</cp:coreProperties>
</file>