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</w:tblGrid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F54EF" w:rsidRPr="004F54EF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4F54E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4F54E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4F54EF" w:rsidRPr="004F54EF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E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AB7AB" wp14:editId="1DA4E96C">
                  <wp:extent cx="5720080" cy="1233170"/>
                  <wp:effectExtent l="0" t="0" r="0" b="508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F54E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F54E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госслужащему заполнить декларацию о доходах, расходах, имуществе и обязательствах имущественного характера </w:t>
              </w:r>
            </w:hyperlink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54EF" w:rsidRPr="004F54E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воспользоваться разъяснениями при заполнении декларации о доходах, расходах, имуществе и обязательствах имущественного характера по итогам 2020 года. </w:t>
                  </w:r>
                </w:p>
              </w:tc>
            </w:tr>
          </w:tbl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08CABC3D" wp14:editId="64A4310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Разработаны </w:t>
            </w:r>
            <w:hyperlink r:id="rId10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Методические рекомендации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год). Справку нужно заполнить, используя специальное программное обеспечение «Справки БК» по утвержденной </w:t>
            </w:r>
            <w:hyperlink r:id="rId11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форме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>. Это специальная форма, в которую вносится сводная информация обо всех передвижениях денежных средств на счетах.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Представление сведений является обязанностью соответствующего лица, предусмотренной антикоррупционным законодательством.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Сведения представляются отдельно: в отношении служащего (работника), в отношении его супруги (супруга), в отношении каждого несовершеннолетнего ребенка служащего (работника).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Сведения представляются ежегодно в следующие сроки: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– не позднее 1 апреля года, следующего за отчетным (Президент РФ, члены Правительства РФ, Секретарь Совета Безопасности РФ, федеральные госслужащие Администрации Президента РФ и др.);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– не позднее 30 апреля года, следующего за отчетным (госслужащие, </w:t>
            </w:r>
            <w:r w:rsidRPr="004F54EF">
              <w:rPr>
                <w:rFonts w:eastAsia="Calibri" w:cs="Arial"/>
                <w:color w:val="444444"/>
                <w:lang w:eastAsia="ru-RU"/>
              </w:rPr>
              <w:lastRenderedPageBreak/>
              <w:t xml:space="preserve">муниципальные служащие, работники ЦБ РФ, работники ПФР, ФСС РФ, ФФОМС, госкорпораций (компаний, публично-правовых компаний), иных организаций, созданных на основании федеральных законов, организаций, создаваемых для выполнения задач, поставленных перед федеральными госорганами, атаманы войсковых казачьих обществ и др.). 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22in;height:.75pt" o:hralign="center" o:hrstd="t" o:hr="t" fillcolor="gray" stroked="f"/>
              </w:pic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4F54E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действуют новые правила по охране труда в медицинских организациях </w:t>
              </w:r>
            </w:hyperlink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54EF" w:rsidRPr="004F54E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разработке инструкции по охране труда для профессий и (или) видов выполняемых работ, которые утверждаются локальным нормативным актом работодателя медицинской организации, необходимо руководствоваться новыми правилами. </w:t>
                  </w:r>
                </w:p>
              </w:tc>
            </w:tr>
          </w:tbl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1127B5C9" wp14:editId="3B7594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Минтруда России от 18.12.2020 № 928н введены Правила по охране труда, которые устанавливают государственные нормативные требования охраны труда при оказании медицинской помощи, организации и проведении основных процессов и работ в медицинских организациях.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Требования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деятельности в области здравоохранения.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На основе Правил и требований технической документации организации-изготовителя медицинского оборудования, используемого в медицинских организациях,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Предусматривается, что в случае применения методов работ, материалов, оборудования,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и требованиями технической документации организации-изготовителя.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Настоящий </w:t>
            </w:r>
            <w:hyperlink r:id="rId15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вступил в силу с 1 января 2021 года и будет действовать до 31 декабря 2025 года.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6" style="width:22in;height:.75pt" o:hralign="center" o:hrstd="t" o:hr="t" fillcolor="gray" stroked="f"/>
              </w:pict>
            </w:r>
          </w:p>
          <w:p w:rsid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4F54E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 1 января 2021 года действуют новые правила по охране труда в театрах, концертных залах, цирках, зоопарках, океанариумах </w:t>
              </w:r>
            </w:hyperlink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54EF" w:rsidRPr="004F54E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для разработки и утверждения локальных нормативных актов в рамках системы управления охраной труда необходимо руководствоваться новыми правилами. </w:t>
                  </w:r>
                </w:p>
              </w:tc>
            </w:tr>
          </w:tbl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1C30EC7E" wp14:editId="1BED5C5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Минтруд России разработал </w:t>
            </w:r>
            <w:hyperlink r:id="rId18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по охране труда  при выполнении работ в театрах, концертных залах, цирках, зоотеатрах, зоопарках и океанариумах (</w:t>
            </w:r>
            <w:hyperlink r:id="rId19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от 16.12.2020 № 914н). Правилами установлены государственные нормативные требования охраны труда при организации и проведении в театрах, концертных залах и цирках театрально-зрелищных мероприятий и цирковых представлений, а также при выполнении работ по содержанию и экспонированию животных в зоотеатрах, зоопарках и океанариумах.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Требования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Настоящий </w:t>
            </w:r>
            <w:hyperlink r:id="rId20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вступил в силу с 1 января 2021 года и будет действовать до 31 декабря 2025 года.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7" style="width:22in;height:.75pt" o:hralign="center" o:hrstd="t" o:hr="t" fillcolor="gray" stroked="f"/>
              </w:pic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F54E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БУХГАЛТЕРУ 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4F54E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Нематериальные активы: какие требования учесть учреждению в 2021 году </w:t>
              </w:r>
            </w:hyperlink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54EF" w:rsidRPr="004F54E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начиная с отчетности за 2021 год нужно применять новые требования и порядок учета нематериальных активов. </w:t>
                  </w:r>
                </w:p>
              </w:tc>
            </w:tr>
          </w:tbl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15496154" wp14:editId="3B278E2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С 1 января 2021 года при ведении бюджетного и бухгалтерского учета, а также при составлении бюджетной и бухгалтерской отчетности начиная с отчетности за указанный год применяется </w:t>
            </w:r>
            <w:hyperlink r:id="rId23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стандарт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«Нематериальные активы», утвержденный </w:t>
            </w:r>
            <w:hyperlink r:id="rId24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Минфина России от 15.11.2019 № 181н.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Он </w:t>
            </w:r>
            <w:hyperlink r:id="rId25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регламентирует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порядок отражения результатов интеллектуальной деятельности, на которые учреждение имеет исключительное право или право пользования. Долгосрочные лицензии на нематериальные активы с 2021 года следует учитывать на балансе.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Ознакомиться с подробными разъяснениями можно в </w:t>
            </w:r>
            <w:hyperlink r:id="rId26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«Нематериальные активы учитывайте по новому стандарту» в СПС КонсультантПлюс. 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8" style="width:22in;height:.75pt" o:hralign="center" o:hrstd="t" o:hr="t" fillcolor="gray" stroked="f"/>
              </w:pic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4F54E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Изменения в бухгалтерской (бюджетной) отчетности за 2020 год </w:t>
              </w:r>
            </w:hyperlink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54EF" w:rsidRPr="004F54E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при составлении бухгалтерской (бюджетной) отчетности за 2020 год необходимо учитывать поправки. </w:t>
                  </w:r>
                </w:p>
              </w:tc>
            </w:tr>
          </w:tbl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6DE8765C" wp14:editId="0A119A8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В </w:t>
            </w:r>
            <w:hyperlink r:id="rId29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«Годовая бюджетная и бухгалтерская отчетность: какие изменения нужно учесть учреждению» в СПС КонсультантПлюс разъясняется, как учреждениям учесть в работе новшества 2021 года.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Перед тем как формировать годовую отчетность, в учете следует отразить новшества, которые введены: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– </w:t>
            </w:r>
            <w:hyperlink r:id="rId30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 Единый план счетов и Инструкцию № 157н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>;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– в </w:t>
            </w:r>
            <w:hyperlink r:id="rId31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планы счетов и инструкции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№ 162н, № 174н, № 183н;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– в </w:t>
            </w:r>
            <w:hyperlink r:id="rId32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КОСГУ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>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Формы самого баланса не изменились. Скорректирована форма справки о наличии имущества и обязательств на забалансовых счетах, представляемой в составе баланса. Такая справка дополнена новыми строками для отражения данных.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Также обновлена форма отчета о финрезультатах. При заполнении данных форм за 2020 год не нужно детализировать по подстатьям КОСГУ итоговые показатели увеличения (уменьшения) материальных запасов. Согласно новым требованиям: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– в отчете (ф. 0503721) указываются лишь обобщенные данные по статьям 340 (строка 361) и 440 (строка 362) КОСГУ;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– в отчете (ф. 0503121) также отражаются общие данные по статьям 340 (строка 361) и 440 (строка 362) КОСГУ и дополнительно раскрываются показатели только в отношении подстатей 347 «Увеличение стоимости материальных запасов для целей капитальных вложений», 447 «Уменьшение стоимости материальных запасов для целей капитальных вложений» КОСГУ.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Подробнее обо всех значимых изменениях читайте в </w:t>
            </w:r>
            <w:hyperlink r:id="rId33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в СПС КонсультантПлюс.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9" style="width:22in;height:.75pt" o:hralign="center" o:hrstd="t" o:hr="t" fillcolor="gray" stroked="f"/>
              </w:pic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4F54E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Обновлены формы представления информации о неисполненных обязательствах организации, финансируемых за счет не использованных на 1 января остатков субсидий и бюджетных инвестиций </w:t>
              </w:r>
            </w:hyperlink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54EF" w:rsidRPr="004F54E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 10 января 2021 года представление информации об неисполненных обязательствах организации, финансируемых за счет субсидий и бюджетных инвестиций, происходит с учетом новых форм. </w:t>
                  </w:r>
                </w:p>
              </w:tc>
            </w:tr>
          </w:tbl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034E2162" wp14:editId="67635E0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6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Минфина России от 17.11.2020 № 270н в новой редакции изложены формы представления информации, предусмотренные приложениями № 1 и № 2 к </w:t>
            </w:r>
            <w:hyperlink r:id="rId37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Приказу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Минфина России от 13.12.2017 № 229н.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Информация формируется юрлицом в государственной интегрированной </w:t>
            </w:r>
            <w:r w:rsidRPr="004F54EF">
              <w:rPr>
                <w:rFonts w:eastAsia="Calibri" w:cs="Arial"/>
                <w:color w:val="444444"/>
                <w:lang w:eastAsia="ru-RU"/>
              </w:rPr>
              <w:lastRenderedPageBreak/>
              <w:t>информационной системе управления общественными финансами «Электронный бюджет» в соответствии с утвержденными формами и порядком заполнения.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rect id="_x0000_i1030" style="width:22in;height:.75pt" o:hralign="center" o:hrstd="t" o:hr="t" fillcolor="gray" stroked="f"/>
              </w:pic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4F54E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Минтруд разъяснил, как считать смены для спецвыплат за оказание помощи больным коронавирусом </w:t>
              </w:r>
            </w:hyperlink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54EF" w:rsidRPr="004F54E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для расчета размера спецвыплаты медикам, оказывающим помощь больным с COVID-19 или контактирующим с ними, необходимо учитывать новые временные правила. </w:t>
                  </w:r>
                </w:p>
              </w:tc>
            </w:tr>
          </w:tbl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14CAE963" wp14:editId="47682DE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40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Минтруда России от 15.12.2020 № 894н утверждены </w:t>
            </w:r>
            <w:hyperlink r:id="rId41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Разъяснения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по применению Постановления Правительства РФ от 30.10.2020 № 1762. Цель Разъяснений – помочь медорганизациям подготовить данные, необходимые ФСС для расчета размера спецвыплаты медикам, оказывающим помощь больным с COVID-19 или контактирующим с ними.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b/>
                <w:bCs/>
                <w:color w:val="444444"/>
                <w:lang w:eastAsia="ru-RU"/>
              </w:rPr>
              <w:t>Расчет нормативной смены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Нормативную смену нужно рассчитывать для категории работников, например: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– у водителей скорой помощи обычная 40-часовая рабочая неделя, поэтому их нормативная смена равна 8 часам;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– врачам-специалистам, среднему и младшему медперсоналу, непосредственно оказывающим медпомощь или обслуживающим больных в инфекционных больницах, отделениях, палатах, кабинетах, установлена 36-часовая рабочая неделя. Следовательно, нормативная смена для них составляет 7,2 часа.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Нормативная смена не зависит от фактического времени, в которое работник выполняет (должен выполнять) свои трудовые обязанности. В частности, ее не нужно пересчитывать, если работник в течение календарного месяца был в отпуске, болел или не отработал установленную продолжительность рабочего времени по иным причинам.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b/>
                <w:bCs/>
                <w:color w:val="444444"/>
                <w:lang w:eastAsia="ru-RU"/>
              </w:rPr>
              <w:t>Расчет числа смен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При расчете числа отработанных нормативных смен суммируется все отработанное время в те дни (смены), в которые работник оказывал медпомощь или контактировал с пациентами с COVID-19. Например, у врача смена начинается в 8.00 и заканчивается в 8.00 следующего дня, а медпомощь больным коронавирусом он оказывал только в первый день смены. В этом случае ему засчитываются все 24 часа.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Часы сверхурочной работы, работы в выходные и нерабочие праздничные дни, учитываются в одинарном размере.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b/>
                <w:bCs/>
                <w:color w:val="444444"/>
                <w:lang w:eastAsia="ru-RU"/>
              </w:rPr>
              <w:t>Ведение табеля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Минфин напомнил, что при ведении табеля учета рабочего времени организации вправе самостоятельно дополнять применяемые условные обозначения в рамках своей учетной политики.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Для учета времени, в течение которого работник оказывал медпомощь или контактировал с пациентами с COVID-19, рекомендованы такие обозначения: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– для обычной работы – «Ф(кв)»;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– для сверухрочной – «Скв»;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– для работы в выходные и нерабочие праздничные дни – «РПкв».</w:t>
            </w:r>
          </w:p>
          <w:p w:rsidR="004F54EF" w:rsidRDefault="004F54EF" w:rsidP="004F54EF">
            <w:pPr>
              <w:spacing w:line="270" w:lineRule="atLeast"/>
              <w:rPr>
                <w:rFonts w:eastAsia="Calibri" w:cs="Arial"/>
                <w:b/>
                <w:bCs/>
                <w:color w:val="444444"/>
                <w:lang w:val="en-US" w:eastAsia="ru-RU"/>
              </w:rPr>
            </w:pP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F54EF">
              <w:rPr>
                <w:rFonts w:eastAsia="Calibri" w:cs="Arial"/>
                <w:b/>
                <w:bCs/>
                <w:color w:val="444444"/>
                <w:lang w:eastAsia="ru-RU"/>
              </w:rPr>
              <w:lastRenderedPageBreak/>
              <w:t>Формирование реестра работников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Если работник имеет право на получение выплаты и по основной должности, и по должности, занимаемой на условиях внутреннего совместительства, данные в реестре указываются раздельно по каждой должности.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За внешних совместителей отчитывается та организация, в которой они трудоустроены на условиях внешнего совместительства.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Документ действует с 11 января 2021 года.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pict>
                <v:rect id="_x0000_i1031" style="width:22in;height:.75pt" o:hralign="center" o:hrstd="t" o:hr="t" fillcolor="gray" stroked="f"/>
              </w:pic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F54E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КАДРОВОМУ РАБОТНИКУ 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4F54EF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Утверждены наименования квалификаций и требования к квалификациям в сфере безопасности труда, социальной защиты и занятости населения </w:t>
              </w:r>
            </w:hyperlink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F54EF" w:rsidRPr="004F54EF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4F54EF" w:rsidRPr="004F54EF" w:rsidRDefault="004F54EF" w:rsidP="004F54E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54EF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независимая оценка квалификации работников должна осуществляться в соответствии с новыми требованиями. </w:t>
                  </w:r>
                </w:p>
              </w:tc>
            </w:tr>
          </w:tbl>
          <w:p w:rsidR="004F54EF" w:rsidRPr="004F54EF" w:rsidRDefault="004F54EF" w:rsidP="004F54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4F54EF" w:rsidRPr="004F54EF" w:rsidRDefault="004F54EF" w:rsidP="004F54EF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03519FAA" wp14:editId="6D66FCA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​ 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44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АНО НАРК от 04.12.2020 № 95/20-ПР разработаны наименования квалификаций и требования к квалификации в сфере безопасности труда, социальной защиты и занятости населения, на соответствие которым проводится независимая оценка квалификации.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 xml:space="preserve">В соответствии со </w:t>
            </w:r>
            <w:hyperlink r:id="rId45" w:history="1">
              <w:r w:rsidRPr="004F54EF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195.1</w:t>
              </w:r>
            </w:hyperlink>
            <w:r w:rsidRPr="004F54EF">
              <w:rPr>
                <w:rFonts w:eastAsia="Calibri" w:cs="Arial"/>
                <w:color w:val="444444"/>
                <w:lang w:eastAsia="ru-RU"/>
              </w:rPr>
              <w:t xml:space="preserve"> ТК РФ профессиональные стандарты характеризуют квалификацию, необходимую работнику для осуществления определенного вида профессиональной деятельности.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Разработка квалификаций, формирование квалификаций на основе профессиональных стандартов является ключевым этапом внедрения системы независимой оценки квалификаций.</w:t>
            </w:r>
          </w:p>
          <w:p w:rsidR="004F54EF" w:rsidRPr="004F54EF" w:rsidRDefault="004F54EF" w:rsidP="004F54EF">
            <w:pPr>
              <w:spacing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4F54EF">
              <w:rPr>
                <w:rFonts w:eastAsia="Calibri" w:cs="Arial"/>
                <w:color w:val="444444"/>
                <w:lang w:eastAsia="ru-RU"/>
              </w:rPr>
              <w:t>В целях обеспечения проведения независимой оценки квалификации национальное агентство развития квалификаций несет ответственность за достоверность и актуальность информации.</w:t>
            </w:r>
          </w:p>
        </w:tc>
      </w:tr>
      <w:tr w:rsidR="004F54EF" w:rsidRPr="004F54EF" w:rsidTr="004F54EF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F54EF" w:rsidRPr="004F54EF" w:rsidRDefault="004F54EF" w:rsidP="004F54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32" style="width:22in;height:.75pt" o:hralign="center" o:hrstd="t" o:hr="t" fillcolor="gray" stroked="f"/>
              </w:pict>
            </w:r>
          </w:p>
        </w:tc>
      </w:tr>
    </w:tbl>
    <w:p w:rsidR="0024360B" w:rsidRPr="004F54EF" w:rsidRDefault="0024360B" w:rsidP="004F54EF"/>
    <w:sectPr w:rsidR="0024360B" w:rsidRPr="004F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140"/>
    <w:multiLevelType w:val="hybridMultilevel"/>
    <w:tmpl w:val="B244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5C"/>
    <w:rsid w:val="0024360B"/>
    <w:rsid w:val="004F54EF"/>
    <w:rsid w:val="00853A53"/>
    <w:rsid w:val="009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C545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3A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C545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3A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4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.elcode.ru/subscribe/link/?hash=35991775a00f94b661d46bb9b72e5b6a&amp;id_send=16280&amp;id_email=8634439&amp;url=https%3A%2F%2Flogin.consultant.ru%2Flink%2F%3Freq%3Ddoc%26base%3DLAW%26n%3D373511%26dst%3D1000000003&amp;uid_news=853468&amp;cli=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3427%26amp%3Bdst%3D100010&amp;uid_news=853452&amp;cli=" TargetMode="External"/><Relationship Id="rId26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2978%26amp%3Bdst%3D100001&amp;uid_news=853434&amp;cli=" TargetMode="External"/><Relationship Id="rId39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work.elcode.ru/subscribe/link/?hash=35991775a00f94b661d46bb9b72e5b6a&amp;id_send=16280&amp;id_email=8634439&amp;url=https%3A%2F%2Flogin.consultant.ru%2Flink%2F%3Freq%3Ddoc%26base%3DLAW%26n%3D372978%26dst%3D100001&amp;uid_news=853434&amp;cli=" TargetMode="External"/><Relationship Id="rId34" Type="http://schemas.openxmlformats.org/officeDocument/2006/relationships/hyperlink" Target="http://work.elcode.ru/subscribe/link/?hash=35991775a00f94b661d46bb9b72e5b6a&amp;id_send=16280&amp;id_email=8634439&amp;url=https%3A%2F%2Flogin.consultant.ru%2Flink%2F%3Freq%3Ddoc%26base%3DLAW%26n%3D368499%26dst%3D1000000007&amp;uid_news=853422&amp;cli=" TargetMode="External"/><Relationship Id="rId42" Type="http://schemas.openxmlformats.org/officeDocument/2006/relationships/hyperlink" Target="http://work.elcode.ru/subscribe/link/?hash=35991775a00f94b661d46bb9b72e5b6a&amp;id_send=16280&amp;id_email=8634439&amp;url=https%3A%2F%2Flogin.consultant.ru%2Flink%2F%3Freq%3Ddoc%26base%3DLAW%26n%3D372998%26dst%3D100003&amp;uid_news=853386&amp;cli=" TargetMode="External"/><Relationship Id="rId47" Type="http://schemas.openxmlformats.org/officeDocument/2006/relationships/theme" Target="theme/theme1.xml"/><Relationship Id="rId7" Type="http://schemas.openxmlformats.org/officeDocument/2006/relationships/image" Target="cid:19f7c18170fe3a3e6ff519800ae85296@swift.generated" TargetMode="External"/><Relationship Id="rId12" Type="http://schemas.openxmlformats.org/officeDocument/2006/relationships/hyperlink" Target="http://work.elcode.ru/subscribe/link/?hash=35991775a00f94b661d46bb9b72e5b6a&amp;id_send=16280&amp;id_email=8634439&amp;url=https%3A%2F%2Flogin.consultant.ru%2Flink%2F%3Freq%3Ddoc%26base%3DLAW%26n%3D373020%26dst%3D100004&amp;uid_news=853462&amp;cli=" TargetMode="External"/><Relationship Id="rId17" Type="http://schemas.openxmlformats.org/officeDocument/2006/relationships/image" Target="media/image4.jpeg"/><Relationship Id="rId25" Type="http://schemas.openxmlformats.org/officeDocument/2006/relationships/hyperlink" Target="consultantplus://offline/ref=EB2C91A70A97799E5A3F8083DCE960037F04D9812779C409B7EE1CC3E49662DD60D6F302651362CFEC3C853379AB3C14A06D55F9A2B47CA3i8S2W" TargetMode="External"/><Relationship Id="rId33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2976%26amp%3Bdst%3D1000000004&amp;uid_news=853425&amp;cli=" TargetMode="External"/><Relationship Id="rId38" Type="http://schemas.openxmlformats.org/officeDocument/2006/relationships/hyperlink" Target="http://work.elcode.ru/subscribe/link/?hash=35991775a00f94b661d46bb9b72e5b6a&amp;id_send=16280&amp;id_email=8634439&amp;url=https%3A%2F%2Flogin.consultant.ru%2Flink%2F%3Freq%3Ddoc%26base%3DLAW%26n%3D373048%26dst%3D1000000005&amp;uid_news=853409&amp;cli=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ork.elcode.ru/subscribe/link/?hash=35991775a00f94b661d46bb9b72e5b6a&amp;id_send=16280&amp;id_email=8634439&amp;url=https%3A%2F%2Flogin.consultant.ru%2Flink%2F%3Freq%3Ddoc%26base%3DLAW%26n%3D373427%26dst%3D100004&amp;uid_news=853452&amp;cli=" TargetMode="External"/><Relationship Id="rId20" Type="http://schemas.openxmlformats.org/officeDocument/2006/relationships/hyperlink" Target="consultantplus://offline/ref=74F67A2463AA48795E5D77C2171944E91E26F3E3054D5E3D5C07A30803B6AC33BD6AAB2AF8945E40B14A5232DC4B6A7A695452C26E2FEB14n6uAV" TargetMode="External"/><Relationship Id="rId29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2976%26amp%3Bdst%3D1000000004&amp;uid_news=853425&amp;cli=" TargetMode="External"/><Relationship Id="rId41" Type="http://schemas.openxmlformats.org/officeDocument/2006/relationships/hyperlink" Target="consultantplus://offline/ref=CFCE74A074E2DD6080A2B368640951BF90B8A4EA2AB0E8E34C0B38E6134D1E089CBB6EFE5C7B98C79B44AD68E2531F758C0656C3FD74ECA85BD3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CA1A1986F23951CACEEEE7AF9E044D004E5306FA1A1836A60371954E749B6F0FDDD85B3228BD4C3F852577381CC2A5D9E52B90EB2FBCD3C10CV9V" TargetMode="External"/><Relationship Id="rId24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39419%26amp%3Bdst%3D100003&amp;uid_news=853434&amp;cli=" TargetMode="External"/><Relationship Id="rId32" Type="http://schemas.openxmlformats.org/officeDocument/2006/relationships/hyperlink" Target="consultantplus://offline/ref=363FEFDF52B800AED07BEDF5C07E69B9CE4F208467B2DED9CE910B0104AAB77BB868A4B99E189ACD19F28E4405D7BA336017CAC5ACB0A47ExCZ7U" TargetMode="External"/><Relationship Id="rId37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3386%26amp%3Bdst%3D1000000005&amp;uid_news=853422&amp;cli=" TargetMode="External"/><Relationship Id="rId40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3048%26amp%3Bdst%3D100003&amp;uid_news=853409&amp;cli=" TargetMode="External"/><Relationship Id="rId45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0225%26amp%3Bdst%3D1843&amp;uid_news=853386&amp;cli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E6624BEBBA5BE2C5ED896BBAF0DEA73CC8B90A328C7D42D97A2679DEA375B0552C19EDED9661DC470E84616E2FFB92D54DDDC595210vDlBV" TargetMode="External"/><Relationship Id="rId23" Type="http://schemas.openxmlformats.org/officeDocument/2006/relationships/hyperlink" Target="consultantplus://offline/ref=EB2C91A70A97799E5A3F8083DCE960037F04D9812779C409B7EE1CC3E49662DD60D6F302651362CFEC3C853379AB3C14A06D55F9A2B47CA3i8S2W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68499%26amp%3Bdst%3D1000000005&amp;uid_news=853422&amp;cli=" TargetMode="External"/><Relationship Id="rId10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3511%26amp%3Bdst%3D100002&amp;uid_news=853468&amp;cli=" TargetMode="External"/><Relationship Id="rId19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3427%26amp%3Bdst%3D1000000007&amp;uid_news=853452&amp;cli=" TargetMode="External"/><Relationship Id="rId31" Type="http://schemas.openxmlformats.org/officeDocument/2006/relationships/hyperlink" Target="consultantplus://offline/ref=363FEFDF52B800AED07BEDF5C07E69B9CE4F2F8963B5DED9CE910B0104AAB77BB868A4B99E189ACD1AF28E4405D7BA336017CAC5ACB0A47ExCZ7U" TargetMode="External"/><Relationship Id="rId44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2998%26amp%3Bdst%3D100002&amp;uid_news=853386&amp;cli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ork.elcode.ru/subscribe/link/?hash=35991775a00f94b661d46bb9b72e5b6a&amp;id_send=16280&amp;id_email=8634439&amp;url=https%3A%2F%2Flogin.consultant.ru%2Flink%2F%3Freq%3Ddoc%26amp%3Bbase%3DLAW%26amp%3Bn%3D373020%26amp%3Bdst%3D1000000005&amp;uid_news=853462&amp;cli=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ork.elcode.ru/subscribe/link/?hash=35991775a00f94b661d46bb9b72e5b6a&amp;id_send=16280&amp;id_email=8634439&amp;url=https%3A%2F%2Flogin.consultant.ru%2Flink%2F%3Freq%3Ddoc%26base%3DLAW%26n%3D372976%26dst%3D100005&amp;uid_news=853425&amp;cli=" TargetMode="External"/><Relationship Id="rId30" Type="http://schemas.openxmlformats.org/officeDocument/2006/relationships/hyperlink" Target="consultantplus://offline/ref=363FEFDF52B800AED07BEDF5C07E69B9CE4A228564BEDED9CE910B0104AAB77BB868A4B99E189ACD19F28E4405D7BA336017CAC5ACB0A47ExCZ7U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2021-01-13T10:51:00Z</dcterms:created>
  <dcterms:modified xsi:type="dcterms:W3CDTF">2021-01-13T13:03:00Z</dcterms:modified>
</cp:coreProperties>
</file>